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2E" w:rsidRDefault="00AB6CA9">
      <w:pPr>
        <w:pStyle w:val="NormalWeb"/>
      </w:pPr>
      <w:r>
        <w:t>Author:   Ed Nelson</w:t>
      </w:r>
      <w:r>
        <w:br/>
        <w:t>Department of Sociology M/S SS97</w:t>
      </w:r>
      <w:r>
        <w:br/>
        <w:t>California State University, Fresno</w:t>
      </w:r>
      <w:r>
        <w:br/>
      </w:r>
      <w:proofErr w:type="spellStart"/>
      <w:r>
        <w:t>Fresno</w:t>
      </w:r>
      <w:proofErr w:type="spellEnd"/>
      <w:r>
        <w:t>, CA 93740</w:t>
      </w:r>
      <w:r>
        <w:br/>
        <w:t xml:space="preserve">Email:  </w:t>
      </w:r>
      <w:hyperlink r:id="rId6" w:history="1">
        <w:r>
          <w:rPr>
            <w:rStyle w:val="Hyperlink"/>
          </w:rPr>
          <w:t>ednelson@csufresno.edu</w:t>
        </w:r>
      </w:hyperlink>
    </w:p>
    <w:p w:rsidR="00256D2E" w:rsidRDefault="00AB6CA9">
      <w:pPr>
        <w:pStyle w:val="NormalWeb"/>
      </w:pPr>
      <w:r>
        <w:rPr>
          <w:rStyle w:val="Strong"/>
        </w:rPr>
        <w:t>Note to the Instructor:</w:t>
      </w:r>
      <w:r>
        <w:t xml:space="preserve"> This exercise uses the 2014 General Social Survey (GSS) and SDA to explore measures of association.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7"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256D2E" w:rsidRDefault="00AB6CA9">
      <w:pPr>
        <w:pStyle w:val="NormalWeb"/>
      </w:pPr>
      <w:r>
        <w:t>I’m attaching the following files.</w:t>
      </w:r>
    </w:p>
    <w:p w:rsidR="00256D2E" w:rsidRDefault="00327E47">
      <w:pPr>
        <w:numPr>
          <w:ilvl w:val="0"/>
          <w:numId w:val="1"/>
        </w:numPr>
        <w:spacing w:before="100" w:beforeAutospacing="1" w:after="100" w:afterAutospacing="1"/>
        <w:rPr>
          <w:rFonts w:eastAsia="Times New Roman"/>
        </w:rPr>
      </w:pPr>
      <w:hyperlink r:id="rId8" w:history="1">
        <w:r w:rsidR="00AB6CA9" w:rsidRPr="00A400B0">
          <w:rPr>
            <w:rStyle w:val="Hyperlink"/>
            <w:rFonts w:eastAsia="Times New Roman"/>
          </w:rPr>
          <w:t>Extended notes for instructors</w:t>
        </w:r>
      </w:hyperlink>
      <w:r w:rsidR="00AB6CA9">
        <w:rPr>
          <w:rFonts w:eastAsia="Times New Roman"/>
        </w:rPr>
        <w:t xml:space="preserve"> (MS Word; .docx format).</w:t>
      </w:r>
    </w:p>
    <w:p w:rsidR="00256D2E" w:rsidRDefault="00327E47">
      <w:pPr>
        <w:numPr>
          <w:ilvl w:val="0"/>
          <w:numId w:val="1"/>
        </w:numPr>
        <w:spacing w:before="100" w:beforeAutospacing="1" w:after="100" w:afterAutospacing="1"/>
        <w:rPr>
          <w:rFonts w:eastAsia="Times New Roman"/>
        </w:rPr>
      </w:pPr>
      <w:hyperlink r:id="rId9" w:history="1">
        <w:r w:rsidR="00AB6CA9" w:rsidRPr="00A400B0">
          <w:rPr>
            <w:rStyle w:val="Hyperlink"/>
            <w:rFonts w:eastAsia="Times New Roman"/>
          </w:rPr>
          <w:t>This page</w:t>
        </w:r>
      </w:hyperlink>
      <w:r w:rsidR="00AB6CA9">
        <w:rPr>
          <w:rFonts w:eastAsia="Times New Roman"/>
        </w:rPr>
        <w:t xml:space="preserve"> (MS Word; .docx format).</w:t>
      </w:r>
    </w:p>
    <w:p w:rsidR="00256D2E" w:rsidRDefault="00AB6CA9">
      <w:pPr>
        <w:pStyle w:val="Heading2"/>
        <w:rPr>
          <w:rFonts w:eastAsia="Times New Roman"/>
        </w:rPr>
      </w:pPr>
      <w:r>
        <w:rPr>
          <w:rFonts w:eastAsia="Times New Roman"/>
        </w:rPr>
        <w:t>Goals of Exercise</w:t>
      </w:r>
    </w:p>
    <w:p w:rsidR="00256D2E" w:rsidRDefault="00AB6CA9">
      <w:pPr>
        <w:pStyle w:val="NormalWeb"/>
      </w:pPr>
      <w:r>
        <w:t>The goal of this exercise is to introduce measures of association.  The exercise also gives you practice in using CROSSTABS in SDA.</w:t>
      </w:r>
    </w:p>
    <w:p w:rsidR="00256D2E" w:rsidRDefault="00AB6CA9">
      <w:pPr>
        <w:pStyle w:val="Heading3"/>
        <w:rPr>
          <w:rFonts w:eastAsia="Times New Roman"/>
        </w:rPr>
      </w:pPr>
      <w:r>
        <w:rPr>
          <w:rFonts w:eastAsia="Times New Roman"/>
        </w:rPr>
        <w:t>Part I—Relationships between Variables</w:t>
      </w:r>
    </w:p>
    <w:p w:rsidR="00256D2E" w:rsidRDefault="00AB6CA9">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0" w:history="1">
        <w:r>
          <w:rPr>
            <w:rStyle w:val="Hyperlink"/>
          </w:rPr>
          <w:t>here</w:t>
        </w:r>
      </w:hyperlink>
      <w:r>
        <w:t xml:space="preserve">.  The cumulative data file contains all the data from each GSS survey </w:t>
      </w:r>
      <w:proofErr w:type="gramStart"/>
      <w:r>
        <w:t>conducted</w:t>
      </w:r>
      <w:proofErr w:type="gramEnd"/>
      <w:r>
        <w:t xml:space="preserve">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11_1.  This tells SDA to select out the 2014 data from the cumulative file.</w:t>
      </w:r>
    </w:p>
    <w:p w:rsidR="00256D2E" w:rsidRDefault="00AB6CA9">
      <w:pPr>
        <w:pStyle w:val="NormalWeb"/>
      </w:pPr>
      <w:r>
        <w:rPr>
          <w:noProof/>
        </w:rPr>
        <w:lastRenderedPageBreak/>
        <w:drawing>
          <wp:inline distT="0" distB="0" distL="0" distR="0">
            <wp:extent cx="3209925" cy="2409825"/>
            <wp:effectExtent l="0" t="0" r="9525" b="9525"/>
            <wp:docPr id="1" name="Picture 1" descr=" This image shows the crosstabs dialog box in SDA with the selection filter(s) and weight boxes filled in.  Notice that in the sample design line under output options, we have changed the default suggestion to select S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crosstabs dialog box in SDA with the selection filter(s) and weight boxes filled in.  Notice that in the sample design line under output options, we have changed the default suggestion to select SRS.  "/>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inline>
        </w:drawing>
      </w:r>
      <w:r>
        <w:br/>
      </w:r>
      <w:r>
        <w:rPr>
          <w:rStyle w:val="Strong"/>
        </w:rPr>
        <w:t>Figure 11-1</w:t>
      </w:r>
    </w:p>
    <w:p w:rsidR="00256D2E" w:rsidRDefault="00AB6CA9">
      <w:pPr>
        <w:pStyle w:val="NormalWeb"/>
      </w:pPr>
      <w:r>
        <w:t xml:space="preserve">Notice that a weight variable has already been entered in the WEIGHT box.  This will </w:t>
      </w:r>
      <w:proofErr w:type="spellStart"/>
      <w:r>
        <w:t>weight</w:t>
      </w:r>
      <w:proofErr w:type="spellEnd"/>
      <w:r>
        <w:t xml:space="preserve"> the data so the sample better represents the population from which the sample was selected.</w:t>
      </w:r>
    </w:p>
    <w:p w:rsidR="00256D2E" w:rsidRDefault="00AB6CA9">
      <w:pPr>
        <w:pStyle w:val="NormalWeb"/>
      </w:pPr>
      <w:r>
        <w:t>There’s one other thing that it’s important to do.  Click on the arrow next to OUTPUT OPTIONS and look at the line that says SAMPLE DESIGN.  On your screen COMPLEX will be selected.  Click on the circle next to SRS to select it. </w:t>
      </w:r>
    </w:p>
    <w:p w:rsidR="00256D2E" w:rsidRDefault="00AB6CA9">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256D2E" w:rsidRDefault="00AB6CA9">
      <w:pPr>
        <w:pStyle w:val="NormalWeb"/>
      </w:pPr>
      <w:r>
        <w:t>In a previous exercise (</w:t>
      </w:r>
      <w:hyperlink r:id="rId12" w:history="1">
        <w:r>
          <w:rPr>
            <w:rStyle w:val="Hyperlink"/>
          </w:rPr>
          <w:t>STAT9S_SDA</w:t>
        </w:r>
      </w:hyperlink>
      <w:r>
        <w:t xml:space="preserve">) we used </w:t>
      </w:r>
      <w:proofErr w:type="spellStart"/>
      <w:r>
        <w:t>crosstabulation</w:t>
      </w:r>
      <w:proofErr w:type="spellEnd"/>
      <w:r>
        <w:t xml:space="preserve"> and </w:t>
      </w:r>
      <w:proofErr w:type="spellStart"/>
      <w:r>
        <w:t>percents</w:t>
      </w:r>
      <w:proofErr w:type="spellEnd"/>
      <w:r>
        <w:t xml:space="preserve"> to describe the relationship between pairs of variables in the sample.  In exercise </w:t>
      </w:r>
      <w:hyperlink r:id="rId13" w:history="1">
        <w:r>
          <w:rPr>
            <w:rStyle w:val="Hyperlink"/>
          </w:rPr>
          <w:t>STAT10S_SDA</w:t>
        </w:r>
      </w:hyperlink>
      <w:r>
        <w:t xml:space="preserve"> we went beyond simple description.  We used the sample data to make inferences about the population from which the sample was selected.  Chi Square was used to test hypotheses about the population.  Chi Square is the appropriate test when your variables are nominal or ordinal (see </w:t>
      </w:r>
      <w:hyperlink r:id="rId14" w:history="1">
        <w:r>
          <w:rPr>
            <w:rStyle w:val="Hyperlink"/>
          </w:rPr>
          <w:t>STAT1S_SDA</w:t>
        </w:r>
      </w:hyperlink>
      <w:r>
        <w:t>).</w:t>
      </w:r>
    </w:p>
    <w:p w:rsidR="00256D2E" w:rsidRDefault="00AB6CA9">
      <w:pPr>
        <w:pStyle w:val="NormalWeb"/>
      </w:pPr>
      <w:r>
        <w:t xml:space="preserve">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In exercises </w:t>
      </w:r>
      <w:hyperlink r:id="rId15" w:history="1">
        <w:r>
          <w:rPr>
            <w:rStyle w:val="Hyperlink"/>
          </w:rPr>
          <w:t>STAT13.1S_SDA</w:t>
        </w:r>
      </w:hyperlink>
      <w:r>
        <w:t xml:space="preserve"> and </w:t>
      </w:r>
      <w:hyperlink r:id="rId16" w:history="1">
        <w:r>
          <w:rPr>
            <w:rStyle w:val="Hyperlink"/>
          </w:rPr>
          <w:t>STAT13.2S_SDA</w:t>
        </w:r>
      </w:hyperlink>
      <w:r>
        <w:t> we’ll talk about measures for interval and ratio variables.</w:t>
      </w:r>
    </w:p>
    <w:p w:rsidR="00256D2E" w:rsidRDefault="00AB6CA9">
      <w:pPr>
        <w:pStyle w:val="Heading3"/>
        <w:rPr>
          <w:rFonts w:eastAsia="Times New Roman"/>
        </w:rPr>
      </w:pPr>
      <w:r>
        <w:rPr>
          <w:rFonts w:eastAsia="Times New Roman"/>
        </w:rPr>
        <w:lastRenderedPageBreak/>
        <w:t>Part II – What is a Measure of Association?</w:t>
      </w:r>
    </w:p>
    <w:p w:rsidR="00256D2E" w:rsidRDefault="00AB6CA9">
      <w:pPr>
        <w:pStyle w:val="NormalWeb"/>
      </w:pPr>
      <w:r>
        <w:t>Before we discuss measures of association, we need to talk about independent and dependent variables.  The dependent variable is whatever you are trying to explain.  For example, let’s say we want to find out why some people think that abortion should be legal and others think it should be illegal.  The independent variable is some variable that you think might help you answer this question.  Perhaps we decide to use sex as our independent variable. </w:t>
      </w:r>
    </w:p>
    <w:p w:rsidR="00256D2E" w:rsidRDefault="00AB6CA9">
      <w:pPr>
        <w:pStyle w:val="NormalWeb"/>
      </w:pPr>
      <w:r>
        <w:t>A measure of association is a numerical value that tells us how strongly related two variables are.  There are several characteristics of a good measure of association.</w:t>
      </w:r>
    </w:p>
    <w:p w:rsidR="00256D2E" w:rsidRDefault="00AB6CA9">
      <w:pPr>
        <w:numPr>
          <w:ilvl w:val="0"/>
          <w:numId w:val="2"/>
        </w:numPr>
        <w:spacing w:before="100" w:beforeAutospacing="1" w:after="100" w:afterAutospacing="1"/>
        <w:rPr>
          <w:rFonts w:eastAsia="Times New Roman"/>
        </w:rPr>
      </w:pPr>
      <w:r>
        <w:rPr>
          <w:rFonts w:eastAsia="Times New Roman"/>
        </w:rPr>
        <w:t>They range from a value of 0 (i.e., no relationship) to 1 (i.e., the strongest possible relationship).</w:t>
      </w:r>
    </w:p>
    <w:p w:rsidR="00256D2E" w:rsidRDefault="00AB6CA9">
      <w:pPr>
        <w:numPr>
          <w:ilvl w:val="0"/>
          <w:numId w:val="2"/>
        </w:numPr>
        <w:spacing w:before="100" w:beforeAutospacing="1" w:after="100" w:afterAutospacing="1"/>
        <w:rPr>
          <w:rFonts w:eastAsia="Times New Roman"/>
        </w:rPr>
      </w:pPr>
      <w:r>
        <w:rPr>
          <w:rFonts w:eastAsia="Times New Roman"/>
        </w:rPr>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bookmarkStart w:id="0" w:name="_ftnref1"/>
      <w:r>
        <w:rPr>
          <w:rFonts w:eastAsia="Times New Roman"/>
        </w:rPr>
        <w:fldChar w:fldCharType="begin"/>
      </w:r>
      <w:r>
        <w:rPr>
          <w:rFonts w:eastAsia="Times New Roman"/>
        </w:rPr>
        <w:instrText xml:space="preserve"> HYPERLINK "" \l "_ftn1" \o "" </w:instrText>
      </w:r>
      <w:r>
        <w:rPr>
          <w:rFonts w:eastAsia="Times New Roman"/>
        </w:rPr>
        <w:fldChar w:fldCharType="separate"/>
      </w:r>
      <w:r>
        <w:rPr>
          <w:rStyle w:val="Hyperlink"/>
          <w:rFonts w:eastAsia="Times New Roman"/>
        </w:rPr>
        <w:t>[1]</w:t>
      </w:r>
      <w:r>
        <w:rPr>
          <w:rFonts w:eastAsia="Times New Roman"/>
        </w:rPr>
        <w:fldChar w:fldCharType="end"/>
      </w:r>
      <w:bookmarkEnd w:id="0"/>
    </w:p>
    <w:p w:rsidR="00256D2E" w:rsidRDefault="00AB6CA9">
      <w:pPr>
        <w:numPr>
          <w:ilvl w:val="0"/>
          <w:numId w:val="2"/>
        </w:numPr>
        <w:spacing w:before="100" w:beforeAutospacing="1" w:after="100" w:afterAutospacing="1"/>
        <w:rPr>
          <w:rFonts w:eastAsia="Times New Roman"/>
        </w:rPr>
      </w:pPr>
      <w:r>
        <w:rPr>
          <w:rFonts w:eastAsia="Times New Roman"/>
        </w:rPr>
        <w:t>Some measures specify which variable is dependent and which is independent.  The independent variable is some variable that you think might help explain the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rsidR="00256D2E" w:rsidRDefault="00AB6CA9">
      <w:pPr>
        <w:pStyle w:val="Heading3"/>
        <w:rPr>
          <w:rFonts w:eastAsia="Times New Roman"/>
        </w:rPr>
      </w:pPr>
      <w:r>
        <w:rPr>
          <w:rFonts w:eastAsia="Times New Roman"/>
        </w:rPr>
        <w:t>Part III – Choosing a Measure of Association</w:t>
      </w:r>
    </w:p>
    <w:p w:rsidR="00256D2E" w:rsidRDefault="00AB6CA9">
      <w:pPr>
        <w:pStyle w:val="NormalWeb"/>
      </w:pPr>
      <w:r>
        <w:t>There are many measures of association to choose from. We’re going to limit our discussion to those measures that SDA will compute plus a couple others. When choosing a measure of association we’ll start by considering the level of measurement of the two variables (see STAT1S_SDA). </w:t>
      </w:r>
    </w:p>
    <w:p w:rsidR="00256D2E" w:rsidRDefault="00AB6CA9">
      <w:pPr>
        <w:numPr>
          <w:ilvl w:val="0"/>
          <w:numId w:val="3"/>
        </w:numPr>
        <w:spacing w:before="100" w:beforeAutospacing="1" w:after="100" w:afterAutospacing="1"/>
        <w:rPr>
          <w:rFonts w:eastAsia="Times New Roman"/>
        </w:rPr>
      </w:pPr>
      <w:r>
        <w:rPr>
          <w:rFonts w:eastAsia="Times New Roman"/>
        </w:rPr>
        <w:t xml:space="preserve">If one or both of the variables is nominal, then choose one of these measures. </w:t>
      </w:r>
    </w:p>
    <w:p w:rsidR="00256D2E" w:rsidRDefault="00AB6CA9">
      <w:pPr>
        <w:numPr>
          <w:ilvl w:val="1"/>
          <w:numId w:val="3"/>
        </w:numPr>
        <w:spacing w:before="100" w:beforeAutospacing="1" w:after="100" w:afterAutospacing="1"/>
        <w:rPr>
          <w:rFonts w:eastAsia="Times New Roman"/>
        </w:rPr>
      </w:pPr>
      <w:r>
        <w:rPr>
          <w:rFonts w:eastAsia="Times New Roman"/>
        </w:rPr>
        <w:t>Contingency Coefficient – SDA doesn’t compute this but it’s easy to compute by hand. </w:t>
      </w:r>
    </w:p>
    <w:p w:rsidR="00256D2E" w:rsidRDefault="00AB6CA9">
      <w:pPr>
        <w:numPr>
          <w:ilvl w:val="1"/>
          <w:numId w:val="3"/>
        </w:numPr>
        <w:spacing w:before="100" w:beforeAutospacing="1" w:after="100" w:afterAutospacing="1"/>
        <w:rPr>
          <w:rFonts w:eastAsia="Times New Roman"/>
        </w:rPr>
      </w:pPr>
      <w:r>
        <w:rPr>
          <w:rFonts w:eastAsia="Times New Roman"/>
        </w:rPr>
        <w:t xml:space="preserve">Cramer’s V – SDA doesn’t compute this either but it’s </w:t>
      </w:r>
      <w:r w:rsidR="00492A3A">
        <w:rPr>
          <w:rFonts w:eastAsia="Times New Roman"/>
        </w:rPr>
        <w:t xml:space="preserve">also </w:t>
      </w:r>
      <w:r>
        <w:rPr>
          <w:rFonts w:eastAsia="Times New Roman"/>
        </w:rPr>
        <w:t>easy to compute by hand and we’ll show you how.</w:t>
      </w:r>
    </w:p>
    <w:p w:rsidR="00256D2E" w:rsidRDefault="00AB6CA9">
      <w:pPr>
        <w:numPr>
          <w:ilvl w:val="0"/>
          <w:numId w:val="3"/>
        </w:numPr>
        <w:spacing w:before="100" w:beforeAutospacing="1" w:after="100" w:afterAutospacing="1"/>
        <w:rPr>
          <w:rFonts w:eastAsia="Times New Roman"/>
        </w:rPr>
      </w:pPr>
      <w:r>
        <w:rPr>
          <w:rFonts w:eastAsia="Times New Roman"/>
        </w:rPr>
        <w:t xml:space="preserve">If both of the variables are ordinal, then choose from this list. </w:t>
      </w:r>
    </w:p>
    <w:p w:rsidR="00256D2E" w:rsidRDefault="00AB6CA9">
      <w:pPr>
        <w:numPr>
          <w:ilvl w:val="1"/>
          <w:numId w:val="3"/>
        </w:numPr>
        <w:spacing w:before="100" w:beforeAutospacing="1" w:after="100" w:afterAutospacing="1"/>
        <w:rPr>
          <w:rFonts w:eastAsia="Times New Roman"/>
        </w:rPr>
      </w:pPr>
      <w:r>
        <w:rPr>
          <w:rFonts w:eastAsia="Times New Roman"/>
        </w:rPr>
        <w:t>Gamma</w:t>
      </w:r>
    </w:p>
    <w:p w:rsidR="00256D2E" w:rsidRDefault="00AB6CA9">
      <w:pPr>
        <w:numPr>
          <w:ilvl w:val="1"/>
          <w:numId w:val="3"/>
        </w:numPr>
        <w:spacing w:before="100" w:beforeAutospacing="1" w:after="100" w:afterAutospacing="1"/>
        <w:rPr>
          <w:rFonts w:eastAsia="Times New Roman"/>
        </w:rPr>
      </w:pPr>
      <w:proofErr w:type="spellStart"/>
      <w:r>
        <w:rPr>
          <w:rFonts w:eastAsia="Times New Roman"/>
        </w:rPr>
        <w:t>Somer’s</w:t>
      </w:r>
      <w:proofErr w:type="spellEnd"/>
      <w:r>
        <w:rPr>
          <w:rFonts w:eastAsia="Times New Roman"/>
        </w:rPr>
        <w:t xml:space="preserve"> d with the row variable as the dependent variable</w:t>
      </w:r>
    </w:p>
    <w:p w:rsidR="00256D2E" w:rsidRDefault="00AB6CA9">
      <w:pPr>
        <w:numPr>
          <w:ilvl w:val="1"/>
          <w:numId w:val="3"/>
        </w:numPr>
        <w:spacing w:before="100" w:beforeAutospacing="1" w:after="100" w:afterAutospacing="1"/>
        <w:rPr>
          <w:rFonts w:eastAsia="Times New Roman"/>
        </w:rPr>
      </w:pPr>
      <w:r>
        <w:rPr>
          <w:rFonts w:eastAsia="Times New Roman"/>
        </w:rPr>
        <w:t>Kendall’s tau-b</w:t>
      </w:r>
    </w:p>
    <w:p w:rsidR="00256D2E" w:rsidRDefault="00AB6CA9">
      <w:pPr>
        <w:numPr>
          <w:ilvl w:val="1"/>
          <w:numId w:val="3"/>
        </w:numPr>
        <w:spacing w:before="100" w:beforeAutospacing="1" w:after="100" w:afterAutospacing="1"/>
        <w:rPr>
          <w:rFonts w:eastAsia="Times New Roman"/>
        </w:rPr>
      </w:pPr>
      <w:r>
        <w:rPr>
          <w:rFonts w:eastAsia="Times New Roman"/>
        </w:rPr>
        <w:t>Kendall’s tau-c</w:t>
      </w:r>
    </w:p>
    <w:p w:rsidR="00256D2E" w:rsidRDefault="00AB6CA9">
      <w:pPr>
        <w:numPr>
          <w:ilvl w:val="0"/>
          <w:numId w:val="3"/>
        </w:numPr>
        <w:spacing w:before="100" w:beforeAutospacing="1" w:after="100" w:afterAutospacing="1"/>
        <w:rPr>
          <w:rFonts w:eastAsia="Times New Roman"/>
        </w:rPr>
      </w:pPr>
      <w:r>
        <w:rPr>
          <w:rFonts w:eastAsia="Times New Roman"/>
        </w:rPr>
        <w:t xml:space="preserve">Dichotomies should be treated as ordinal. Most variables can be recoded into dichotomies. For example, marital status can be recoded into married or not married. </w:t>
      </w:r>
      <w:r>
        <w:rPr>
          <w:rFonts w:eastAsia="Times New Roman"/>
        </w:rPr>
        <w:lastRenderedPageBreak/>
        <w:t>Race can be recoded as white or non-white. All dichotomies should be considered ordinal.</w:t>
      </w:r>
    </w:p>
    <w:p w:rsidR="00256D2E" w:rsidRDefault="00AB6CA9">
      <w:pPr>
        <w:pStyle w:val="Heading3"/>
        <w:rPr>
          <w:rFonts w:eastAsia="Times New Roman"/>
        </w:rPr>
      </w:pPr>
      <w:r>
        <w:rPr>
          <w:rFonts w:eastAsia="Times New Roman"/>
        </w:rPr>
        <w:t>Part IV – Measures of Association for Nominal Variables</w:t>
      </w:r>
    </w:p>
    <w:p w:rsidR="00256D2E" w:rsidRDefault="00AB6CA9">
      <w:pPr>
        <w:pStyle w:val="NormalWeb"/>
      </w:pPr>
      <w:r>
        <w:t>There are a number of nominal level variables in the 2014 GSS.  Here are a few examples.</w:t>
      </w:r>
    </w:p>
    <w:p w:rsidR="00256D2E" w:rsidRDefault="00AB6CA9">
      <w:pPr>
        <w:numPr>
          <w:ilvl w:val="0"/>
          <w:numId w:val="4"/>
        </w:numPr>
        <w:spacing w:before="100" w:beforeAutospacing="1" w:after="100" w:afterAutospacing="1"/>
        <w:rPr>
          <w:rFonts w:eastAsia="Times New Roman"/>
        </w:rPr>
      </w:pPr>
      <w:r>
        <w:rPr>
          <w:rFonts w:eastAsia="Times New Roman"/>
        </w:rPr>
        <w:t>race of respondent – race</w:t>
      </w:r>
    </w:p>
    <w:p w:rsidR="00256D2E" w:rsidRDefault="00AB6CA9">
      <w:pPr>
        <w:numPr>
          <w:ilvl w:val="0"/>
          <w:numId w:val="4"/>
        </w:numPr>
        <w:spacing w:before="100" w:beforeAutospacing="1" w:after="100" w:afterAutospacing="1"/>
        <w:rPr>
          <w:rFonts w:eastAsia="Times New Roman"/>
        </w:rPr>
      </w:pPr>
      <w:r>
        <w:rPr>
          <w:rFonts w:eastAsia="Times New Roman"/>
        </w:rPr>
        <w:t xml:space="preserve">race of household – </w:t>
      </w:r>
      <w:proofErr w:type="spellStart"/>
      <w:r>
        <w:rPr>
          <w:rFonts w:eastAsia="Times New Roman"/>
        </w:rPr>
        <w:t>hhrace</w:t>
      </w:r>
      <w:proofErr w:type="spellEnd"/>
    </w:p>
    <w:p w:rsidR="00256D2E" w:rsidRDefault="00AB6CA9">
      <w:pPr>
        <w:numPr>
          <w:ilvl w:val="0"/>
          <w:numId w:val="4"/>
        </w:numPr>
        <w:spacing w:before="100" w:beforeAutospacing="1" w:after="100" w:afterAutospacing="1"/>
        <w:rPr>
          <w:rFonts w:eastAsia="Times New Roman"/>
        </w:rPr>
      </w:pPr>
      <w:r>
        <w:rPr>
          <w:rFonts w:eastAsia="Times New Roman"/>
        </w:rPr>
        <w:t>region in which respondent lives – region</w:t>
      </w:r>
    </w:p>
    <w:p w:rsidR="00256D2E" w:rsidRDefault="00AB6CA9">
      <w:pPr>
        <w:numPr>
          <w:ilvl w:val="0"/>
          <w:numId w:val="4"/>
        </w:numPr>
        <w:spacing w:before="100" w:beforeAutospacing="1" w:after="100" w:afterAutospacing="1"/>
        <w:rPr>
          <w:rFonts w:eastAsia="Times New Roman"/>
        </w:rPr>
      </w:pPr>
      <w:r>
        <w:rPr>
          <w:rFonts w:eastAsia="Times New Roman"/>
        </w:rPr>
        <w:t>region in which respondent lived at age 16 – reg16</w:t>
      </w:r>
    </w:p>
    <w:p w:rsidR="00256D2E" w:rsidRDefault="00AB6CA9">
      <w:pPr>
        <w:pStyle w:val="NormalWeb"/>
      </w:pPr>
      <w:r>
        <w:t xml:space="preserve">When one or both of your variables are nominal, you have a choice of the following </w:t>
      </w:r>
      <w:proofErr w:type="gramStart"/>
      <w:r>
        <w:t>measures</w:t>
      </w:r>
      <w:bookmarkStart w:id="1" w:name="_ftnref2"/>
      <w:proofErr w:type="gramEnd"/>
      <w:r>
        <w:fldChar w:fldCharType="begin"/>
      </w:r>
      <w:r>
        <w:instrText xml:space="preserve"> HYPERLINK "" \l "_ftn2" \o "" </w:instrText>
      </w:r>
      <w:r>
        <w:fldChar w:fldCharType="separate"/>
      </w:r>
      <w:r>
        <w:rPr>
          <w:rStyle w:val="Hyperlink"/>
        </w:rPr>
        <w:t>[2]</w:t>
      </w:r>
      <w:r>
        <w:fldChar w:fldCharType="end"/>
      </w:r>
      <w:bookmarkEnd w:id="1"/>
      <w:r>
        <w:t xml:space="preserve"> – Contingency Coefficient and Cramer’s V.   Let’s start with the Contingency Coefficient (C).  One of the problems with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rsidR="00256D2E" w:rsidRDefault="00AB6CA9">
      <w:pPr>
        <w:pStyle w:val="NormalWeb"/>
      </w:pPr>
      <w:r>
        <w:t>Cramer’s V is an extremely useful measure because it can vary between 0 and 1 regardless of the number of rows and columns.  Values of V can therefore be compared for tables with different number or rows and columns.</w:t>
      </w:r>
      <w:bookmarkStart w:id="2" w:name="_ftnref3"/>
      <w:r>
        <w:fldChar w:fldCharType="begin"/>
      </w:r>
      <w:r>
        <w:instrText xml:space="preserve"> HYPERLINK "" \l "_ftn3" \o "" </w:instrText>
      </w:r>
      <w:r>
        <w:fldChar w:fldCharType="separate"/>
      </w:r>
      <w:r>
        <w:rPr>
          <w:rStyle w:val="Hyperlink"/>
        </w:rPr>
        <w:t>[3]</w:t>
      </w:r>
      <w:r>
        <w:fldChar w:fldCharType="end"/>
      </w:r>
      <w:bookmarkEnd w:id="2"/>
      <w:r>
        <w:t> </w:t>
      </w:r>
    </w:p>
    <w:p w:rsidR="00256D2E" w:rsidRDefault="00AB6CA9">
      <w:pPr>
        <w:pStyle w:val="NormalWeb"/>
      </w:pPr>
      <w:r>
        <w:t xml:space="preserve">Let’s look at an example to help us better understand measures of association for nominal variables.  We’re going to use two variables – </w:t>
      </w:r>
      <w:r>
        <w:rPr>
          <w:rStyle w:val="Emphasis"/>
        </w:rPr>
        <w:t>region</w:t>
      </w:r>
      <w:r>
        <w:t xml:space="preserve"> and </w:t>
      </w:r>
      <w:r>
        <w:rPr>
          <w:rStyle w:val="Emphasis"/>
        </w:rPr>
        <w:t>reg16</w:t>
      </w:r>
      <w:r>
        <w:t xml:space="preserve">.  The first variable – </w:t>
      </w:r>
      <w:r>
        <w:rPr>
          <w:rStyle w:val="Emphasis"/>
        </w:rPr>
        <w:t>region</w:t>
      </w:r>
      <w:r>
        <w:t xml:space="preserve"> – is the region of the country in which the respondent currently lives and the second – </w:t>
      </w:r>
      <w:r>
        <w:rPr>
          <w:rStyle w:val="Emphasis"/>
        </w:rPr>
        <w:t>reg16</w:t>
      </w:r>
      <w:r>
        <w:t xml:space="preserve"> – is where the respondent lived at the age of 16.  It would make sense to think of region as the dependent variable since where respondents lived at age 16 might influence where they currently live.  Always put the dependent variable in the row and the independent variable in the column.</w:t>
      </w:r>
      <w:bookmarkStart w:id="3" w:name="_ftnref4"/>
      <w:r>
        <w:fldChar w:fldCharType="begin"/>
      </w:r>
      <w:r>
        <w:instrText xml:space="preserve"> HYPERLINK "" \l "_ftn4" \o "" </w:instrText>
      </w:r>
      <w:r>
        <w:fldChar w:fldCharType="separate"/>
      </w:r>
      <w:r>
        <w:rPr>
          <w:rStyle w:val="Hyperlink"/>
        </w:rPr>
        <w:t>[4]</w:t>
      </w:r>
      <w:r>
        <w:fldChar w:fldCharType="end"/>
      </w:r>
      <w:bookmarkEnd w:id="3"/>
      <w:r>
        <w:t> </w:t>
      </w:r>
    </w:p>
    <w:p w:rsidR="00A400B0" w:rsidRDefault="00AB6CA9">
      <w:pPr>
        <w:pStyle w:val="NormalWeb"/>
      </w:pPr>
      <w:r>
        <w:t xml:space="preserve">Run CROSSTABS in SDA to produce the </w:t>
      </w:r>
      <w:proofErr w:type="spellStart"/>
      <w:r>
        <w:t>crosstabulation</w:t>
      </w:r>
      <w:proofErr w:type="spellEnd"/>
      <w:r>
        <w:t xml:space="preserve"> of </w:t>
      </w:r>
      <w:r>
        <w:rPr>
          <w:rStyle w:val="Emphasis"/>
        </w:rPr>
        <w:t>region</w:t>
      </w:r>
      <w:r>
        <w:t xml:space="preserve"> and </w:t>
      </w:r>
      <w:r>
        <w:rPr>
          <w:rStyle w:val="Emphasis"/>
        </w:rPr>
        <w:t>reg16</w:t>
      </w:r>
      <w:r>
        <w:t xml:space="preserve">.  Click on OUTPUT OPTIONS and look at PERCENTAGING.  Since your independent variable is always in the column, you want to use the column </w:t>
      </w:r>
      <w:proofErr w:type="spellStart"/>
      <w:r>
        <w:t>percents</w:t>
      </w:r>
      <w:proofErr w:type="spellEnd"/>
      <w:r>
        <w:t xml:space="preserve">.  By default, the box for column </w:t>
      </w:r>
      <w:proofErr w:type="spellStart"/>
      <w:r>
        <w:t>percents</w:t>
      </w:r>
      <w:proofErr w:type="spellEnd"/>
      <w:r>
        <w:t xml:space="preserve"> is already checked. Also, click on OUTPUT OPTIONS and check the box for SUMMARY STATISTICS.  Your screen should look like Figure 11-2. Notice that the SELECTION FILTER(S) box and the WEIGHT box are both filled in.  Make sure that you selected SRS in the SAMPLE DESIGN line.  Click on RUN THE TABLE to produce the </w:t>
      </w:r>
      <w:proofErr w:type="spellStart"/>
      <w:r>
        <w:t>crosstabulation</w:t>
      </w:r>
      <w:proofErr w:type="spellEnd"/>
      <w:r>
        <w:t>.</w:t>
      </w:r>
    </w:p>
    <w:p w:rsidR="00256D2E" w:rsidRDefault="00AB6CA9">
      <w:pPr>
        <w:pStyle w:val="NormalWeb"/>
      </w:pPr>
      <w:r>
        <w:rPr>
          <w:noProof/>
        </w:rPr>
        <w:lastRenderedPageBreak/>
        <w:drawing>
          <wp:inline distT="0" distB="0" distL="0" distR="0">
            <wp:extent cx="2770360" cy="2299580"/>
            <wp:effectExtent l="0" t="0" r="0" b="5715"/>
            <wp:docPr id="2" name="Picture 2" descr=" This is the crosstabs dialog box in SDA with the row, column, selection filter(s), and weight boxes filled in.  Notice that the box for summary statistics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crosstabs dialog box in SDA with the row, column, selection filter(s), and weight boxes filled in.  Notice that the box for summary statistics is checked."/>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784144" cy="2311022"/>
                    </a:xfrm>
                    <a:prstGeom prst="rect">
                      <a:avLst/>
                    </a:prstGeom>
                    <a:noFill/>
                    <a:ln>
                      <a:noFill/>
                    </a:ln>
                  </pic:spPr>
                </pic:pic>
              </a:graphicData>
            </a:graphic>
          </wp:inline>
        </w:drawing>
      </w:r>
      <w:bookmarkStart w:id="4" w:name="_GoBack"/>
      <w:bookmarkEnd w:id="4"/>
      <w:r>
        <w:br/>
      </w:r>
      <w:r>
        <w:rPr>
          <w:rStyle w:val="Strong"/>
        </w:rPr>
        <w:t>Figure 11-2</w:t>
      </w:r>
    </w:p>
    <w:p w:rsidR="00256D2E" w:rsidRDefault="00AB6CA9">
      <w:pPr>
        <w:pStyle w:val="NormalWeb"/>
      </w:pPr>
      <w:r>
        <w:t>Calculating C and V is easy. All you have to do is follow these simple steps.</w:t>
      </w:r>
    </w:p>
    <w:p w:rsidR="00256D2E" w:rsidRDefault="00AB6CA9">
      <w:pPr>
        <w:numPr>
          <w:ilvl w:val="0"/>
          <w:numId w:val="5"/>
        </w:numPr>
        <w:spacing w:before="100" w:beforeAutospacing="1" w:after="100" w:afterAutospacing="1"/>
        <w:rPr>
          <w:rFonts w:eastAsia="Times New Roman"/>
        </w:rPr>
      </w:pPr>
      <w:r>
        <w:rPr>
          <w:rFonts w:eastAsia="Times New Roman"/>
        </w:rPr>
        <w:t xml:space="preserve">C equals the square root of the following: Chi Square divided by the sum of the number of cases in the table and Chi Square. </w:t>
      </w:r>
    </w:p>
    <w:p w:rsidR="00256D2E" w:rsidRDefault="00AB6CA9">
      <w:pPr>
        <w:numPr>
          <w:ilvl w:val="1"/>
          <w:numId w:val="5"/>
        </w:numPr>
        <w:spacing w:before="100" w:beforeAutospacing="1" w:after="100" w:afterAutospacing="1"/>
        <w:rPr>
          <w:rFonts w:eastAsia="Times New Roman"/>
        </w:rPr>
      </w:pPr>
      <w:r>
        <w:rPr>
          <w:rFonts w:eastAsia="Times New Roman"/>
        </w:rPr>
        <w:t xml:space="preserve">Chi Square is the Pearson Chi Square.  SDA expresses this as </w:t>
      </w:r>
      <w:proofErr w:type="spellStart"/>
      <w:r>
        <w:rPr>
          <w:rFonts w:eastAsia="Times New Roman"/>
        </w:rPr>
        <w:t>Chisq</w:t>
      </w:r>
      <w:proofErr w:type="spellEnd"/>
      <w:r>
        <w:rPr>
          <w:rFonts w:eastAsia="Times New Roman"/>
        </w:rPr>
        <w:t>-P.  (See Exercise STAT10S_SDA)</w:t>
      </w:r>
    </w:p>
    <w:p w:rsidR="00256D2E" w:rsidRDefault="00AB6CA9">
      <w:pPr>
        <w:numPr>
          <w:ilvl w:val="1"/>
          <w:numId w:val="5"/>
        </w:numPr>
        <w:spacing w:before="100" w:beforeAutospacing="1" w:after="100" w:afterAutospacing="1"/>
        <w:rPr>
          <w:rFonts w:eastAsia="Times New Roman"/>
        </w:rPr>
      </w:pPr>
      <w:r>
        <w:rPr>
          <w:rFonts w:eastAsia="Times New Roman"/>
        </w:rPr>
        <w:t>Look at the SUMMARY STATISTICS that SDA gives you.  The Pearson Chi Square is 10,268.34 and the number of cases in the table is 2,538.</w:t>
      </w:r>
    </w:p>
    <w:p w:rsidR="00256D2E" w:rsidRDefault="00AB6CA9">
      <w:pPr>
        <w:numPr>
          <w:ilvl w:val="1"/>
          <w:numId w:val="5"/>
        </w:numPr>
        <w:spacing w:before="100" w:beforeAutospacing="1" w:after="100" w:afterAutospacing="1"/>
        <w:rPr>
          <w:rFonts w:eastAsia="Times New Roman"/>
        </w:rPr>
      </w:pPr>
      <w:r>
        <w:rPr>
          <w:rFonts w:eastAsia="Times New Roman"/>
        </w:rPr>
        <w:t>So divide 10,268.34 by the sum of 2,538 and 10,268.34.  This equals 10,268.34 divided by 12,806.34 or 0.8018.</w:t>
      </w:r>
    </w:p>
    <w:p w:rsidR="00256D2E" w:rsidRDefault="00AB6CA9">
      <w:pPr>
        <w:numPr>
          <w:ilvl w:val="1"/>
          <w:numId w:val="5"/>
        </w:numPr>
        <w:spacing w:before="100" w:beforeAutospacing="1" w:after="100" w:afterAutospacing="1"/>
        <w:rPr>
          <w:rFonts w:eastAsia="Times New Roman"/>
        </w:rPr>
      </w:pPr>
      <w:r>
        <w:rPr>
          <w:rFonts w:eastAsia="Times New Roman"/>
        </w:rPr>
        <w:t>Now take the square root of .8018 which equals 0.895.</w:t>
      </w:r>
    </w:p>
    <w:p w:rsidR="00256D2E" w:rsidRDefault="00AB6CA9">
      <w:pPr>
        <w:numPr>
          <w:ilvl w:val="0"/>
          <w:numId w:val="5"/>
        </w:numPr>
        <w:spacing w:before="100" w:beforeAutospacing="1" w:after="100" w:afterAutospacing="1"/>
        <w:rPr>
          <w:rFonts w:eastAsia="Times New Roman"/>
        </w:rPr>
      </w:pPr>
      <w:r>
        <w:rPr>
          <w:rFonts w:eastAsia="Times New Roman"/>
        </w:rPr>
        <w:t xml:space="preserve">V equals the square root of the following: Chi Square divided by the product of the number of cases in the table and the smaller of two values – the number of rows minus 1 and the number of columns minus 1. </w:t>
      </w:r>
    </w:p>
    <w:p w:rsidR="00256D2E" w:rsidRDefault="00AB6CA9">
      <w:pPr>
        <w:numPr>
          <w:ilvl w:val="1"/>
          <w:numId w:val="5"/>
        </w:numPr>
        <w:spacing w:before="100" w:beforeAutospacing="1" w:after="100" w:afterAutospacing="1"/>
        <w:rPr>
          <w:rFonts w:eastAsia="Times New Roman"/>
        </w:rPr>
      </w:pPr>
      <w:r>
        <w:rPr>
          <w:rFonts w:eastAsia="Times New Roman"/>
        </w:rPr>
        <w:t>The Pearson Chi Square is 10,268.34, the number of cases in the table is 2,538, the number of rows minus 1 is 9-1 or 8, the number of columns minus 1 is 10 – 1 or 9.</w:t>
      </w:r>
    </w:p>
    <w:p w:rsidR="00256D2E" w:rsidRDefault="00AB6CA9">
      <w:pPr>
        <w:numPr>
          <w:ilvl w:val="1"/>
          <w:numId w:val="5"/>
        </w:numPr>
        <w:spacing w:before="100" w:beforeAutospacing="1" w:after="100" w:afterAutospacing="1"/>
        <w:rPr>
          <w:rFonts w:eastAsia="Times New Roman"/>
        </w:rPr>
      </w:pPr>
      <w:r>
        <w:rPr>
          <w:rFonts w:eastAsia="Times New Roman"/>
        </w:rPr>
        <w:t>The smaller of the number of rows minus 1 and the number of columns minus 1 is 8 since 9 -1 is smaller than 10 – 1.</w:t>
      </w:r>
    </w:p>
    <w:p w:rsidR="00256D2E" w:rsidRDefault="00AB6CA9">
      <w:pPr>
        <w:numPr>
          <w:ilvl w:val="1"/>
          <w:numId w:val="5"/>
        </w:numPr>
        <w:spacing w:before="100" w:beforeAutospacing="1" w:after="100" w:afterAutospacing="1"/>
        <w:rPr>
          <w:rFonts w:eastAsia="Times New Roman"/>
        </w:rPr>
      </w:pPr>
      <w:r>
        <w:rPr>
          <w:rFonts w:eastAsia="Times New Roman"/>
        </w:rPr>
        <w:t>So divide 10,268.34 by the product of 2,538 and 8. This equals 10,268.34 divided by 20,304 or .5057.</w:t>
      </w:r>
    </w:p>
    <w:p w:rsidR="00256D2E" w:rsidRDefault="00AB6CA9">
      <w:pPr>
        <w:numPr>
          <w:ilvl w:val="1"/>
          <w:numId w:val="5"/>
        </w:numPr>
        <w:spacing w:before="100" w:beforeAutospacing="1" w:after="100" w:afterAutospacing="1"/>
        <w:rPr>
          <w:rFonts w:eastAsia="Times New Roman"/>
        </w:rPr>
      </w:pPr>
      <w:r>
        <w:rPr>
          <w:rFonts w:eastAsia="Times New Roman"/>
        </w:rPr>
        <w:t>Now take the square root of .5057 which equals 0.711.</w:t>
      </w:r>
    </w:p>
    <w:p w:rsidR="00256D2E" w:rsidRDefault="00AB6CA9">
      <w:pPr>
        <w:pStyle w:val="NormalWeb"/>
      </w:pPr>
      <w:r>
        <w:t>Notice that C and V are quite high.  C is 0.895 and V is 0.711.  You can see that C tells us that there is a very strong relationship between these two variables as does V.</w:t>
      </w:r>
    </w:p>
    <w:p w:rsidR="00256D2E" w:rsidRDefault="00AB6CA9">
      <w:pPr>
        <w:pStyle w:val="Heading3"/>
        <w:rPr>
          <w:rFonts w:eastAsia="Times New Roman"/>
        </w:rPr>
      </w:pPr>
      <w:r>
        <w:rPr>
          <w:rFonts w:eastAsia="Times New Roman"/>
        </w:rPr>
        <w:t>Part V – Now it’s Your Turn</w:t>
      </w:r>
    </w:p>
    <w:p w:rsidR="00256D2E" w:rsidRDefault="00AB6CA9">
      <w:pPr>
        <w:pStyle w:val="NormalWeb"/>
      </w:pPr>
      <w:r>
        <w:t xml:space="preserve">Use CROSSTABS in SDA to give you the table for race and region.  The variable race classifies the respondents as white, black, or other.  We want to find out whether the respondent’s race influences where the respondent currently lives.  Decide which variable is independent and </w:t>
      </w:r>
      <w:r>
        <w:lastRenderedPageBreak/>
        <w:t xml:space="preserve">dependent.  Remember to put the dependent variable in the row and the independent variable in the column.  Get the correct </w:t>
      </w:r>
      <w:proofErr w:type="spellStart"/>
      <w:r>
        <w:t>percents</w:t>
      </w:r>
      <w:proofErr w:type="spellEnd"/>
      <w:r>
        <w:t xml:space="preserve"> and tell SDA to compute Chi Square. Then compute C and V by hand.  Use all this information to describe the relationship between these two variables.</w:t>
      </w:r>
    </w:p>
    <w:p w:rsidR="00256D2E" w:rsidRDefault="00AB6CA9">
      <w:pPr>
        <w:pStyle w:val="Heading3"/>
        <w:rPr>
          <w:rFonts w:eastAsia="Times New Roman"/>
        </w:rPr>
      </w:pPr>
      <w:r>
        <w:rPr>
          <w:rFonts w:eastAsia="Times New Roman"/>
        </w:rPr>
        <w:t>Part VI – Measures of Association for Ordinal Variables</w:t>
      </w:r>
    </w:p>
    <w:p w:rsidR="00256D2E" w:rsidRDefault="00AB6CA9">
      <w:pPr>
        <w:pStyle w:val="NormalWeb"/>
      </w:pPr>
      <w:r>
        <w:t>There are a number of ordinal level variables in the 2014 GSS.  Here are a few examples.</w:t>
      </w:r>
    </w:p>
    <w:p w:rsidR="00256D2E" w:rsidRDefault="00AB6CA9">
      <w:pPr>
        <w:numPr>
          <w:ilvl w:val="0"/>
          <w:numId w:val="6"/>
        </w:numPr>
        <w:spacing w:before="100" w:beforeAutospacing="1" w:after="100" w:afterAutospacing="1"/>
        <w:rPr>
          <w:rFonts w:eastAsia="Times New Roman"/>
        </w:rPr>
      </w:pPr>
      <w:r>
        <w:rPr>
          <w:rFonts w:eastAsia="Times New Roman"/>
        </w:rPr>
        <w:t xml:space="preserve">respondent’s highest educational degree – </w:t>
      </w:r>
      <w:r>
        <w:rPr>
          <w:rStyle w:val="Emphasis"/>
          <w:rFonts w:eastAsia="Times New Roman"/>
        </w:rPr>
        <w:t>degree</w:t>
      </w:r>
    </w:p>
    <w:p w:rsidR="00256D2E" w:rsidRDefault="00AB6CA9">
      <w:pPr>
        <w:numPr>
          <w:ilvl w:val="0"/>
          <w:numId w:val="6"/>
        </w:numPr>
        <w:spacing w:before="100" w:beforeAutospacing="1" w:after="100" w:afterAutospacing="1"/>
        <w:rPr>
          <w:rFonts w:eastAsia="Times New Roman"/>
        </w:rPr>
      </w:pPr>
      <w:r>
        <w:rPr>
          <w:rFonts w:eastAsia="Times New Roman"/>
        </w:rPr>
        <w:t xml:space="preserve">spouse’s highest educational degree – </w:t>
      </w:r>
      <w:proofErr w:type="spellStart"/>
      <w:r>
        <w:rPr>
          <w:rStyle w:val="Emphasis"/>
          <w:rFonts w:eastAsia="Times New Roman"/>
        </w:rPr>
        <w:t>spdeg</w:t>
      </w:r>
      <w:proofErr w:type="spellEnd"/>
    </w:p>
    <w:p w:rsidR="00256D2E" w:rsidRDefault="00AB6CA9">
      <w:pPr>
        <w:numPr>
          <w:ilvl w:val="0"/>
          <w:numId w:val="6"/>
        </w:numPr>
        <w:spacing w:before="100" w:beforeAutospacing="1" w:after="100" w:afterAutospacing="1"/>
        <w:rPr>
          <w:rFonts w:eastAsia="Times New Roman"/>
        </w:rPr>
      </w:pPr>
      <w:r>
        <w:rPr>
          <w:rFonts w:eastAsia="Times New Roman"/>
        </w:rPr>
        <w:t xml:space="preserve">satisfaction with current financial situation – </w:t>
      </w:r>
      <w:proofErr w:type="spellStart"/>
      <w:r>
        <w:rPr>
          <w:rStyle w:val="Emphasis"/>
          <w:rFonts w:eastAsia="Times New Roman"/>
        </w:rPr>
        <w:t>satfin</w:t>
      </w:r>
      <w:proofErr w:type="spellEnd"/>
    </w:p>
    <w:p w:rsidR="00256D2E" w:rsidRDefault="00AB6CA9">
      <w:pPr>
        <w:numPr>
          <w:ilvl w:val="0"/>
          <w:numId w:val="6"/>
        </w:numPr>
        <w:spacing w:before="100" w:beforeAutospacing="1" w:after="100" w:afterAutospacing="1"/>
        <w:rPr>
          <w:rFonts w:eastAsia="Times New Roman"/>
        </w:rPr>
      </w:pPr>
      <w:r>
        <w:rPr>
          <w:rFonts w:eastAsia="Times New Roman"/>
        </w:rPr>
        <w:t xml:space="preserve">happiness with life – </w:t>
      </w:r>
      <w:r>
        <w:rPr>
          <w:rStyle w:val="Emphasis"/>
          <w:rFonts w:eastAsia="Times New Roman"/>
        </w:rPr>
        <w:t>happy</w:t>
      </w:r>
    </w:p>
    <w:p w:rsidR="00256D2E" w:rsidRDefault="00AB6CA9">
      <w:pPr>
        <w:numPr>
          <w:ilvl w:val="0"/>
          <w:numId w:val="6"/>
        </w:numPr>
        <w:spacing w:before="100" w:beforeAutospacing="1" w:after="100" w:afterAutospacing="1"/>
        <w:rPr>
          <w:rFonts w:eastAsia="Times New Roman"/>
        </w:rPr>
      </w:pPr>
      <w:r>
        <w:rPr>
          <w:rFonts w:eastAsia="Times New Roman"/>
        </w:rPr>
        <w:t xml:space="preserve">political views – </w:t>
      </w:r>
      <w:proofErr w:type="spellStart"/>
      <w:r>
        <w:rPr>
          <w:rStyle w:val="Emphasis"/>
          <w:rFonts w:eastAsia="Times New Roman"/>
        </w:rPr>
        <w:t>polviews</w:t>
      </w:r>
      <w:proofErr w:type="spellEnd"/>
    </w:p>
    <w:p w:rsidR="00256D2E" w:rsidRDefault="00AB6CA9">
      <w:pPr>
        <w:pStyle w:val="NormalWeb"/>
      </w:pPr>
      <w:r>
        <w:t xml:space="preserve">You have a choice from four measures that SDA will compute for ordinal variables – Gamma, </w:t>
      </w:r>
      <w:proofErr w:type="spellStart"/>
      <w:r>
        <w:t>Somer’s</w:t>
      </w:r>
      <w:proofErr w:type="spellEnd"/>
      <w:r>
        <w:t xml:space="preserve"> d, Kendall’s tau-b, and Kendall’s tau-c.  Let’s start with </w:t>
      </w:r>
      <w:proofErr w:type="spellStart"/>
      <w:r>
        <w:t>Somer’s</w:t>
      </w:r>
      <w:proofErr w:type="spellEnd"/>
      <w:r>
        <w:t xml:space="preserve"> d.   This measure is the only one of the four that is an asymmetric measure.  That means that </w:t>
      </w:r>
      <w:proofErr w:type="spellStart"/>
      <w:r>
        <w:t>Somer’s</w:t>
      </w:r>
      <w:proofErr w:type="spellEnd"/>
      <w:r>
        <w:t xml:space="preserve"> d allows you to specify one of the variables as independent and the other as dependent.  Use CROSSTABS in SDA to get the </w:t>
      </w:r>
      <w:proofErr w:type="spellStart"/>
      <w:r>
        <w:t>crosstabulation</w:t>
      </w:r>
      <w:proofErr w:type="spellEnd"/>
      <w:r>
        <w:t xml:space="preserve"> of degree and </w:t>
      </w:r>
      <w:proofErr w:type="spellStart"/>
      <w:r>
        <w:rPr>
          <w:rStyle w:val="Emphasis"/>
        </w:rPr>
        <w:t>satfin</w:t>
      </w:r>
      <w:proofErr w:type="spellEnd"/>
      <w:r>
        <w:t xml:space="preserve">.  If we think that education influences how satisfied respondents are with their financial situation, then satisfaction with financial situation would be our dependent variable and would go in the row and education would go in the column.  Be sure to get the column </w:t>
      </w:r>
      <w:proofErr w:type="spellStart"/>
      <w:r>
        <w:t>percents</w:t>
      </w:r>
      <w:proofErr w:type="spellEnd"/>
      <w:r>
        <w:t>, Chi Square, and the four measures of association we listed above.</w:t>
      </w:r>
    </w:p>
    <w:p w:rsidR="00256D2E" w:rsidRDefault="00AB6CA9">
      <w:pPr>
        <w:pStyle w:val="NormalWeb"/>
      </w:pPr>
      <w:r>
        <w:t xml:space="preserve">Chi Square tells us that we should reject the null hypothesis that the two variables are unrelated which provides support for our research hypothesis that the variables are related to each other.  Since </w:t>
      </w:r>
      <w:proofErr w:type="spellStart"/>
      <w:r>
        <w:rPr>
          <w:rStyle w:val="Emphasis"/>
        </w:rPr>
        <w:t>satfin</w:t>
      </w:r>
      <w:proofErr w:type="spellEnd"/>
      <w:r>
        <w:t xml:space="preserve"> is our dependent variable the appropriate value of </w:t>
      </w:r>
      <w:proofErr w:type="spellStart"/>
      <w:r>
        <w:t>Somer’s</w:t>
      </w:r>
      <w:proofErr w:type="spellEnd"/>
      <w:r>
        <w:t xml:space="preserve"> d is</w:t>
      </w:r>
      <w:r>
        <w:br/>
        <w:t>-.15.  Tau-b and tau-c are very close to each other (-0.16 and -0.15).  Gamma (-0.24) is larger.  Gamma will always be larger because of the way it is computed.</w:t>
      </w:r>
    </w:p>
    <w:p w:rsidR="00256D2E" w:rsidRDefault="00AB6CA9">
      <w:pPr>
        <w:pStyle w:val="NormalWeb"/>
      </w:pPr>
      <w:r>
        <w:t xml:space="preserve">Now let’s run a table using </w:t>
      </w:r>
      <w:r>
        <w:rPr>
          <w:rStyle w:val="Emphasis"/>
        </w:rPr>
        <w:t>degree</w:t>
      </w:r>
      <w:r>
        <w:t xml:space="preserve"> and </w:t>
      </w:r>
      <w:proofErr w:type="spellStart"/>
      <w:r>
        <w:rPr>
          <w:rStyle w:val="Emphasis"/>
        </w:rPr>
        <w:t>spdeg</w:t>
      </w:r>
      <w:proofErr w:type="spellEnd"/>
      <w:r>
        <w:t xml:space="preserve">.  It doesn’t seem reasonable to treat one spouse’s education as independent and the other spouse’s education as dependent so let’s ignore </w:t>
      </w:r>
      <w:proofErr w:type="spellStart"/>
      <w:r>
        <w:t>Somer’s</w:t>
      </w:r>
      <w:proofErr w:type="spellEnd"/>
      <w:r>
        <w:t xml:space="preserve"> d.</w:t>
      </w:r>
      <w:bookmarkStart w:id="5" w:name="_ftnref5"/>
      <w:r>
        <w:fldChar w:fldCharType="begin"/>
      </w:r>
      <w:r>
        <w:instrText xml:space="preserve"> HYPERLINK "" \l "_ftn5" \o "" </w:instrText>
      </w:r>
      <w:r>
        <w:fldChar w:fldCharType="separate"/>
      </w:r>
      <w:r>
        <w:rPr>
          <w:rStyle w:val="Hyperlink"/>
        </w:rPr>
        <w:t>[5]</w:t>
      </w:r>
      <w:r>
        <w:fldChar w:fldCharType="end"/>
      </w:r>
      <w:r>
        <w:t> </w:t>
      </w:r>
      <w:bookmarkEnd w:id="5"/>
      <w:r>
        <w:t>  In this example, it do</w:t>
      </w:r>
      <w:r w:rsidR="00500A8B">
        <w:t>e</w:t>
      </w:r>
      <w:r>
        <w:t>sn’t matter which variable you put in the column and which you put in the row. Tab-b is 0.52 and tau-c is .46.  Gamma as always is larger (0.69).  The relationship between these two variables is clearly stronger than in the previous example.</w:t>
      </w:r>
    </w:p>
    <w:p w:rsidR="00256D2E" w:rsidRDefault="00AB6CA9">
      <w:pPr>
        <w:pStyle w:val="NormalWeb"/>
      </w:pPr>
      <w:r>
        <w:t>You probably noticed that these measures for ordinal variables can be both positive and negative.  The problem is that it’s hard to interpret the sign.  We would like to be able to say that a positive value indicates that as one variable increases the other variable increases and a negative value indicates that as one variable increases the other variable decreases.  But that depends on how the values are coded.  So to determine whether a relationship is positive or negative it’s better to look at the percentages and let them tell you if it is positive or negative.  In the first example, the sign of the measures was negative but the percentages tell us that the relationship is actually positive.  As education increases, the percent that are happy with their life goes up.</w:t>
      </w:r>
    </w:p>
    <w:p w:rsidR="00256D2E" w:rsidRDefault="00AB6CA9">
      <w:pPr>
        <w:pStyle w:val="Heading3"/>
        <w:rPr>
          <w:rFonts w:eastAsia="Times New Roman"/>
        </w:rPr>
      </w:pPr>
      <w:r>
        <w:rPr>
          <w:rFonts w:eastAsia="Times New Roman"/>
        </w:rPr>
        <w:lastRenderedPageBreak/>
        <w:t>Part VII – Now it’s Your Turn Again</w:t>
      </w:r>
    </w:p>
    <w:p w:rsidR="00256D2E" w:rsidRDefault="00AB6CA9">
      <w:pPr>
        <w:pStyle w:val="NormalWeb"/>
      </w:pPr>
      <w:r>
        <w:t xml:space="preserve">Use CROSSTABS to give you a table for </w:t>
      </w:r>
      <w:r>
        <w:rPr>
          <w:rStyle w:val="Emphasis"/>
        </w:rPr>
        <w:t>degree</w:t>
      </w:r>
      <w:r>
        <w:t xml:space="preserve"> and </w:t>
      </w:r>
      <w:r>
        <w:rPr>
          <w:rStyle w:val="Emphasis"/>
        </w:rPr>
        <w:t>happy</w:t>
      </w:r>
      <w:r>
        <w:t xml:space="preserve">.  We want to find out if the respondent’s education helps us understand why some say they are happier than others.  Decide which variable is independent and dependent.  Get the correct </w:t>
      </w:r>
      <w:proofErr w:type="spellStart"/>
      <w:r>
        <w:t>percents</w:t>
      </w:r>
      <w:proofErr w:type="spellEnd"/>
      <w:r>
        <w:t xml:space="preserve"> and tell SDA to compute Chi Square and the four measures of association we discussed.  Use all this information to describe the relationship between these two variables.</w:t>
      </w:r>
    </w:p>
    <w:p w:rsidR="00256D2E" w:rsidRDefault="00AB6CA9">
      <w:pPr>
        <w:pStyle w:val="Heading3"/>
        <w:rPr>
          <w:rFonts w:eastAsia="Times New Roman"/>
        </w:rPr>
      </w:pPr>
      <w:r>
        <w:rPr>
          <w:rFonts w:eastAsia="Times New Roman"/>
        </w:rPr>
        <w:t>Part VIII – Using Measures of Association to Compare Tables</w:t>
      </w:r>
    </w:p>
    <w:p w:rsidR="00256D2E" w:rsidRDefault="00AB6CA9">
      <w:pPr>
        <w:pStyle w:val="NormalWeb"/>
      </w:pPr>
      <w:r>
        <w:t xml:space="preserve">The primary use of measures of association is to compare the strength of a relationship in several tables.  You want to make sure that you compare the same measure of association across tables.  Compare Gamma values to Gamma values and V values to V values.  Rerun one of the tables that you created in Parts 5 and 7 but </w:t>
      </w:r>
      <w:proofErr w:type="gramStart"/>
      <w:r>
        <w:t>this time hold</w:t>
      </w:r>
      <w:proofErr w:type="gramEnd"/>
      <w:r>
        <w:t xml:space="preserve"> sex constant.  Do this by moving sex to the control box which is right below the COLUMN box in the crosstabs dialog box.  Now compare the appropriate measure of association to determine if the relationship is stronger for males or females or whether it doesn’t vary much by sex.  Remember not to make too much out of small differences in the measures.</w:t>
      </w:r>
    </w:p>
    <w:p w:rsidR="00256D2E" w:rsidRDefault="00A400B0">
      <w:pPr>
        <w:rPr>
          <w:rFonts w:eastAsia="Times New Roman"/>
        </w:rPr>
      </w:pPr>
      <w:r>
        <w:rPr>
          <w:rFonts w:eastAsia="Times New Roman"/>
        </w:rPr>
        <w:pict>
          <v:rect id="_x0000_i1025" style="width:0;height:1.5pt" o:hralign="center" o:hrstd="t" o:hr="t" fillcolor="#a0a0a0" stroked="f"/>
        </w:pict>
      </w:r>
    </w:p>
    <w:bookmarkStart w:id="6" w:name="_ftn1"/>
    <w:p w:rsidR="00256D2E" w:rsidRDefault="00AB6CA9">
      <w:pPr>
        <w:pStyle w:val="NormalWeb"/>
      </w:pPr>
      <w:r>
        <w:fldChar w:fldCharType="begin"/>
      </w:r>
      <w:r>
        <w:instrText xml:space="preserve"> HYPERLINK "" \l "_ftnref1" \o "" </w:instrText>
      </w:r>
      <w:r>
        <w:fldChar w:fldCharType="separate"/>
      </w:r>
      <w:r>
        <w:rPr>
          <w:rStyle w:val="Hyperlink"/>
        </w:rPr>
        <w:t>[1]</w:t>
      </w:r>
      <w:r>
        <w:fldChar w:fldCharType="end"/>
      </w:r>
      <w:bookmarkEnd w:id="6"/>
      <w:r>
        <w:t xml:space="preserve"> See exercise </w:t>
      </w:r>
      <w:hyperlink r:id="rId18" w:history="1">
        <w:r>
          <w:rPr>
            <w:rStyle w:val="Hyperlink"/>
          </w:rPr>
          <w:t>STAT1S_SDA</w:t>
        </w:r>
      </w:hyperlink>
      <w:r>
        <w:t xml:space="preserve"> for a discussion of levels of measurement.  Nominal variables have no underlying order and ordinal variables have an underlying order.  Measures of association for nominal variables range from 0 to 1 while measures for ordinal variables range from -1 to +1.</w:t>
      </w:r>
    </w:p>
    <w:bookmarkStart w:id="7" w:name="_ftn2"/>
    <w:p w:rsidR="00256D2E" w:rsidRDefault="00AB6CA9">
      <w:pPr>
        <w:pStyle w:val="NormalWeb"/>
        <w:divId w:val="718548742"/>
      </w:pPr>
      <w:r>
        <w:fldChar w:fldCharType="begin"/>
      </w:r>
      <w:r>
        <w:instrText xml:space="preserve"> HYPERLINK "" \l "_ftnref2" \o "" </w:instrText>
      </w:r>
      <w:r>
        <w:fldChar w:fldCharType="separate"/>
      </w:r>
      <w:r>
        <w:rPr>
          <w:rStyle w:val="Hyperlink"/>
        </w:rPr>
        <w:t>[2]</w:t>
      </w:r>
      <w:r>
        <w:fldChar w:fldCharType="end"/>
      </w:r>
      <w:bookmarkEnd w:id="7"/>
      <w:r>
        <w:t xml:space="preserve"> There’s another popular measure called Lambda but SDA doesn’t compute it and it’s harder to compute by hand so we’re going to skip it.</w:t>
      </w:r>
    </w:p>
    <w:bookmarkStart w:id="8" w:name="_ftn3"/>
    <w:p w:rsidR="00256D2E" w:rsidRDefault="00AB6CA9">
      <w:pPr>
        <w:pStyle w:val="NormalWeb"/>
        <w:divId w:val="2107844127"/>
      </w:pPr>
      <w:r>
        <w:fldChar w:fldCharType="begin"/>
      </w:r>
      <w:r>
        <w:instrText xml:space="preserve"> HYPERLINK "" \l "_ftnref3" \o "" </w:instrText>
      </w:r>
      <w:r>
        <w:fldChar w:fldCharType="separate"/>
      </w:r>
      <w:r>
        <w:rPr>
          <w:rStyle w:val="Hyperlink"/>
        </w:rPr>
        <w:t>[3]</w:t>
      </w:r>
      <w:r>
        <w:fldChar w:fldCharType="end"/>
      </w:r>
      <w:bookmarkEnd w:id="8"/>
      <w:r>
        <w:t xml:space="preserve"> If your table has two columns and two rows, V is equal to Phi which you might be familiar with.  Since Phi is a special case of V, we’re not going to discuss it.</w:t>
      </w:r>
    </w:p>
    <w:bookmarkStart w:id="9" w:name="_ftn4"/>
    <w:p w:rsidR="00256D2E" w:rsidRDefault="00AB6CA9">
      <w:pPr>
        <w:pStyle w:val="NormalWeb"/>
        <w:divId w:val="1996109477"/>
      </w:pPr>
      <w:r>
        <w:fldChar w:fldCharType="begin"/>
      </w:r>
      <w:r>
        <w:instrText xml:space="preserve"> HYPERLINK "" \l "_ftnref4" \o "" </w:instrText>
      </w:r>
      <w:r>
        <w:fldChar w:fldCharType="separate"/>
      </w:r>
      <w:r>
        <w:rPr>
          <w:rStyle w:val="Hyperlink"/>
        </w:rPr>
        <w:t>[4]</w:t>
      </w:r>
      <w:r>
        <w:fldChar w:fldCharType="end"/>
      </w:r>
      <w:bookmarkEnd w:id="9"/>
      <w:r>
        <w:t xml:space="preserve"> That’s important because as we noted earlier some measures are asymmetric which means that it depends on which of the two variables is dependent and which is independent.  In these cases, SDA assumes that the row variable is the dependent variable. </w:t>
      </w:r>
    </w:p>
    <w:bookmarkStart w:id="10" w:name="_ftn5"/>
    <w:p w:rsidR="00256D2E" w:rsidRDefault="00AB6CA9">
      <w:pPr>
        <w:pStyle w:val="NormalWeb"/>
        <w:divId w:val="2105959115"/>
      </w:pPr>
      <w:r>
        <w:fldChar w:fldCharType="begin"/>
      </w:r>
      <w:r>
        <w:instrText xml:space="preserve"> HYPERLINK "" \l "_ftnref5" \o "" </w:instrText>
      </w:r>
      <w:r>
        <w:fldChar w:fldCharType="separate"/>
      </w:r>
      <w:r>
        <w:rPr>
          <w:rStyle w:val="Hyperlink"/>
        </w:rPr>
        <w:t>[5]</w:t>
      </w:r>
      <w:r>
        <w:fldChar w:fldCharType="end"/>
      </w:r>
      <w:bookmarkEnd w:id="10"/>
      <w:r>
        <w:t xml:space="preserve"> There is a symmetric value for </w:t>
      </w:r>
      <w:proofErr w:type="spellStart"/>
      <w:r>
        <w:t>Somer’s</w:t>
      </w:r>
      <w:proofErr w:type="spellEnd"/>
      <w:r>
        <w:t xml:space="preserve"> d which SDA does not compute.</w:t>
      </w:r>
    </w:p>
    <w:p w:rsidR="00AB6CA9" w:rsidRDefault="00AB6CA9">
      <w:pPr>
        <w:pStyle w:val="NormalWeb"/>
        <w:divId w:val="2105959115"/>
      </w:pPr>
      <w:r>
        <w:t> </w:t>
      </w:r>
    </w:p>
    <w:sectPr w:rsidR="00AB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0C8"/>
    <w:multiLevelType w:val="multilevel"/>
    <w:tmpl w:val="BA1EB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42C2A"/>
    <w:multiLevelType w:val="multilevel"/>
    <w:tmpl w:val="0AA2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05EF1"/>
    <w:multiLevelType w:val="multilevel"/>
    <w:tmpl w:val="374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A257B"/>
    <w:multiLevelType w:val="multilevel"/>
    <w:tmpl w:val="3EB8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A4F4B"/>
    <w:multiLevelType w:val="multilevel"/>
    <w:tmpl w:val="4E1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F61A9"/>
    <w:multiLevelType w:val="multilevel"/>
    <w:tmpl w:val="BCA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90CF8"/>
    <w:rsid w:val="00256D2E"/>
    <w:rsid w:val="00327E47"/>
    <w:rsid w:val="00492A3A"/>
    <w:rsid w:val="00500A8B"/>
    <w:rsid w:val="00A400B0"/>
    <w:rsid w:val="00AB6CA9"/>
    <w:rsid w:val="00C9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90CF8"/>
    <w:rPr>
      <w:rFonts w:ascii="Tahoma" w:hAnsi="Tahoma" w:cs="Tahoma"/>
      <w:sz w:val="16"/>
      <w:szCs w:val="16"/>
    </w:rPr>
  </w:style>
  <w:style w:type="character" w:customStyle="1" w:styleId="BalloonTextChar">
    <w:name w:val="Balloon Text Char"/>
    <w:basedOn w:val="DefaultParagraphFont"/>
    <w:link w:val="BalloonText"/>
    <w:uiPriority w:val="99"/>
    <w:semiHidden/>
    <w:rsid w:val="00C90CF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00A8B"/>
    <w:rPr>
      <w:sz w:val="16"/>
      <w:szCs w:val="16"/>
    </w:rPr>
  </w:style>
  <w:style w:type="paragraph" w:styleId="CommentText">
    <w:name w:val="annotation text"/>
    <w:basedOn w:val="Normal"/>
    <w:link w:val="CommentTextChar"/>
    <w:uiPriority w:val="99"/>
    <w:semiHidden/>
    <w:unhideWhenUsed/>
    <w:rsid w:val="00500A8B"/>
    <w:rPr>
      <w:sz w:val="20"/>
      <w:szCs w:val="20"/>
    </w:rPr>
  </w:style>
  <w:style w:type="character" w:customStyle="1" w:styleId="CommentTextChar">
    <w:name w:val="Comment Text Char"/>
    <w:basedOn w:val="DefaultParagraphFont"/>
    <w:link w:val="CommentText"/>
    <w:uiPriority w:val="99"/>
    <w:semiHidden/>
    <w:rsid w:val="00500A8B"/>
    <w:rPr>
      <w:rFonts w:eastAsiaTheme="minorEastAsia"/>
    </w:rPr>
  </w:style>
  <w:style w:type="paragraph" w:styleId="CommentSubject">
    <w:name w:val="annotation subject"/>
    <w:basedOn w:val="CommentText"/>
    <w:next w:val="CommentText"/>
    <w:link w:val="CommentSubjectChar"/>
    <w:uiPriority w:val="99"/>
    <w:semiHidden/>
    <w:unhideWhenUsed/>
    <w:rsid w:val="00500A8B"/>
    <w:rPr>
      <w:b/>
      <w:bCs/>
    </w:rPr>
  </w:style>
  <w:style w:type="character" w:customStyle="1" w:styleId="CommentSubjectChar">
    <w:name w:val="Comment Subject Char"/>
    <w:basedOn w:val="CommentTextChar"/>
    <w:link w:val="CommentSubject"/>
    <w:uiPriority w:val="99"/>
    <w:semiHidden/>
    <w:rsid w:val="00500A8B"/>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90CF8"/>
    <w:rPr>
      <w:rFonts w:ascii="Tahoma" w:hAnsi="Tahoma" w:cs="Tahoma"/>
      <w:sz w:val="16"/>
      <w:szCs w:val="16"/>
    </w:rPr>
  </w:style>
  <w:style w:type="character" w:customStyle="1" w:styleId="BalloonTextChar">
    <w:name w:val="Balloon Text Char"/>
    <w:basedOn w:val="DefaultParagraphFont"/>
    <w:link w:val="BalloonText"/>
    <w:uiPriority w:val="99"/>
    <w:semiHidden/>
    <w:rsid w:val="00C90CF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00A8B"/>
    <w:rPr>
      <w:sz w:val="16"/>
      <w:szCs w:val="16"/>
    </w:rPr>
  </w:style>
  <w:style w:type="paragraph" w:styleId="CommentText">
    <w:name w:val="annotation text"/>
    <w:basedOn w:val="Normal"/>
    <w:link w:val="CommentTextChar"/>
    <w:uiPriority w:val="99"/>
    <w:semiHidden/>
    <w:unhideWhenUsed/>
    <w:rsid w:val="00500A8B"/>
    <w:rPr>
      <w:sz w:val="20"/>
      <w:szCs w:val="20"/>
    </w:rPr>
  </w:style>
  <w:style w:type="character" w:customStyle="1" w:styleId="CommentTextChar">
    <w:name w:val="Comment Text Char"/>
    <w:basedOn w:val="DefaultParagraphFont"/>
    <w:link w:val="CommentText"/>
    <w:uiPriority w:val="99"/>
    <w:semiHidden/>
    <w:rsid w:val="00500A8B"/>
    <w:rPr>
      <w:rFonts w:eastAsiaTheme="minorEastAsia"/>
    </w:rPr>
  </w:style>
  <w:style w:type="paragraph" w:styleId="CommentSubject">
    <w:name w:val="annotation subject"/>
    <w:basedOn w:val="CommentText"/>
    <w:next w:val="CommentText"/>
    <w:link w:val="CommentSubjectChar"/>
    <w:uiPriority w:val="99"/>
    <w:semiHidden/>
    <w:unhideWhenUsed/>
    <w:rsid w:val="00500A8B"/>
    <w:rPr>
      <w:b/>
      <w:bCs/>
    </w:rPr>
  </w:style>
  <w:style w:type="character" w:customStyle="1" w:styleId="CommentSubjectChar">
    <w:name w:val="Comment Subject Char"/>
    <w:basedOn w:val="CommentTextChar"/>
    <w:link w:val="CommentSubject"/>
    <w:uiPriority w:val="99"/>
    <w:semiHidden/>
    <w:rsid w:val="00500A8B"/>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8742">
      <w:marLeft w:val="0"/>
      <w:marRight w:val="0"/>
      <w:marTop w:val="0"/>
      <w:marBottom w:val="0"/>
      <w:divBdr>
        <w:top w:val="none" w:sz="0" w:space="0" w:color="auto"/>
        <w:left w:val="none" w:sz="0" w:space="0" w:color="auto"/>
        <w:bottom w:val="none" w:sz="0" w:space="0" w:color="auto"/>
        <w:right w:val="none" w:sz="0" w:space="0" w:color="auto"/>
      </w:divBdr>
    </w:div>
    <w:div w:id="1996109477">
      <w:marLeft w:val="0"/>
      <w:marRight w:val="0"/>
      <w:marTop w:val="0"/>
      <w:marBottom w:val="0"/>
      <w:divBdr>
        <w:top w:val="none" w:sz="0" w:space="0" w:color="auto"/>
        <w:left w:val="none" w:sz="0" w:space="0" w:color="auto"/>
        <w:bottom w:val="none" w:sz="0" w:space="0" w:color="auto"/>
        <w:right w:val="none" w:sz="0" w:space="0" w:color="auto"/>
      </w:divBdr>
    </w:div>
    <w:div w:id="2105959115">
      <w:marLeft w:val="0"/>
      <w:marRight w:val="0"/>
      <w:marTop w:val="0"/>
      <w:marBottom w:val="0"/>
      <w:divBdr>
        <w:top w:val="none" w:sz="0" w:space="0" w:color="auto"/>
        <w:left w:val="none" w:sz="0" w:space="0" w:color="auto"/>
        <w:bottom w:val="none" w:sz="0" w:space="0" w:color="auto"/>
        <w:right w:val="none" w:sz="0" w:space="0" w:color="auto"/>
      </w:divBdr>
    </w:div>
    <w:div w:id="21078441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Extended_Notes_for_Instructors_for_STAT11S_SDA.docx" TargetMode="External"/><Relationship Id="rId13" Type="http://schemas.openxmlformats.org/officeDocument/2006/relationships/hyperlink" Target="http://www.ssric.org/node/605" TargetMode="External"/><Relationship Id="rId18" Type="http://schemas.openxmlformats.org/officeDocument/2006/relationships/hyperlink" Target="http://www.ssric.org/node/598" TargetMode="External"/><Relationship Id="rId3" Type="http://schemas.microsoft.com/office/2007/relationships/stylesWithEffects" Target="stylesWithEffects.xml"/><Relationship Id="rId7" Type="http://schemas.openxmlformats.org/officeDocument/2006/relationships/hyperlink" Target="http://sda.berkeley.edu/sdaweb/analysis/?dataset=gss14" TargetMode="External"/><Relationship Id="rId12" Type="http://schemas.openxmlformats.org/officeDocument/2006/relationships/hyperlink" Target="http://www.ssric.org/node/604" TargetMode="External"/><Relationship Id="rId17" Type="http://schemas.openxmlformats.org/officeDocument/2006/relationships/image" Target="http://ssric.org/files/SDA11image004.png" TargetMode="External"/><Relationship Id="rId2" Type="http://schemas.openxmlformats.org/officeDocument/2006/relationships/styles" Target="styles.xml"/><Relationship Id="rId16" Type="http://schemas.openxmlformats.org/officeDocument/2006/relationships/hyperlink" Target="http://www.ssric.org/node/6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image" Target="http://ssric.org/files/SDA11image002.png" TargetMode="External"/><Relationship Id="rId5" Type="http://schemas.openxmlformats.org/officeDocument/2006/relationships/webSettings" Target="webSettings.xml"/><Relationship Id="rId15" Type="http://schemas.openxmlformats.org/officeDocument/2006/relationships/hyperlink" Target="http://www.ssric.org/node/608" TargetMode="External"/><Relationship Id="rId10" Type="http://schemas.openxmlformats.org/officeDocument/2006/relationships/hyperlink" Target="http://sda.berkeley.edu/sdaweb/analysis/?dataset=gss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ic.org/files/STAT11S_SDA.docx" TargetMode="External"/><Relationship Id="rId14" Type="http://schemas.openxmlformats.org/officeDocument/2006/relationships/hyperlink" Target="http://www.ssric.org/node/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2016-11-25T18:36:00Z</dcterms:created>
  <dcterms:modified xsi:type="dcterms:W3CDTF">2016-11-28T22:38:00Z</dcterms:modified>
</cp:coreProperties>
</file>