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8F" w:rsidRPr="001C178F" w:rsidRDefault="001C178F" w:rsidP="00E021AF">
      <w:pPr>
        <w:widowControl w:val="0"/>
        <w:kinsoku w:val="0"/>
        <w:overflowPunct w:val="0"/>
        <w:spacing w:before="18" w:line="362" w:lineRule="exact"/>
        <w:textAlignment w:val="baseline"/>
        <w:rPr>
          <w:b/>
          <w:bCs/>
          <w:sz w:val="28"/>
          <w:szCs w:val="28"/>
        </w:rPr>
      </w:pPr>
      <w:r w:rsidRPr="001C178F">
        <w:rPr>
          <w:b/>
          <w:bCs/>
          <w:spacing w:val="-1"/>
          <w:sz w:val="32"/>
          <w:szCs w:val="32"/>
        </w:rPr>
        <w:t xml:space="preserve">Appendix </w:t>
      </w:r>
      <w:r>
        <w:rPr>
          <w:b/>
          <w:bCs/>
          <w:spacing w:val="-1"/>
          <w:sz w:val="32"/>
          <w:szCs w:val="32"/>
        </w:rPr>
        <w:t>B</w:t>
      </w:r>
      <w:r w:rsidRPr="001C178F">
        <w:rPr>
          <w:b/>
          <w:bCs/>
          <w:spacing w:val="-1"/>
          <w:sz w:val="32"/>
          <w:szCs w:val="32"/>
        </w:rPr>
        <w:t>:</w:t>
      </w:r>
      <w:r w:rsidR="002C56C4">
        <w:rPr>
          <w:b/>
          <w:bCs/>
          <w:spacing w:val="-1"/>
          <w:sz w:val="32"/>
          <w:szCs w:val="32"/>
        </w:rPr>
        <w:t xml:space="preserve"> </w:t>
      </w:r>
      <w:r w:rsidRPr="001C178F">
        <w:rPr>
          <w:b/>
          <w:bCs/>
          <w:sz w:val="28"/>
          <w:szCs w:val="28"/>
        </w:rPr>
        <w:t xml:space="preserve">Codebook for the </w:t>
      </w:r>
      <w:r>
        <w:rPr>
          <w:b/>
          <w:bCs/>
          <w:sz w:val="28"/>
          <w:szCs w:val="28"/>
        </w:rPr>
        <w:t>Countries Data (</w:t>
      </w:r>
      <w:proofErr w:type="spellStart"/>
      <w:r>
        <w:rPr>
          <w:b/>
          <w:bCs/>
          <w:sz w:val="28"/>
          <w:szCs w:val="28"/>
        </w:rPr>
        <w:t>COUNTRIES.sav</w:t>
      </w:r>
      <w:proofErr w:type="spellEnd"/>
      <w:r>
        <w:rPr>
          <w:b/>
          <w:bCs/>
          <w:sz w:val="28"/>
          <w:szCs w:val="28"/>
        </w:rPr>
        <w:t>)</w:t>
      </w:r>
    </w:p>
    <w:p w:rsidR="00C356FB" w:rsidRDefault="005F04B7">
      <w:pPr>
        <w:pStyle w:val="NormalWeb"/>
        <w:rPr>
          <w:lang w:val="en"/>
        </w:rPr>
      </w:pPr>
      <w:r>
        <w:rPr>
          <w:lang w:val="en"/>
        </w:rPr>
        <w:t xml:space="preserve">Source (including variable descriptions): Except as noted, the </w:t>
      </w:r>
      <w:hyperlink r:id="rId9" w:history="1">
        <w:r w:rsidRPr="002C56C4">
          <w:rPr>
            <w:rStyle w:val="Hyperlink"/>
            <w:lang w:val="en"/>
          </w:rPr>
          <w:t>CIA World Factbook</w:t>
        </w:r>
      </w:hyperlink>
      <w:r>
        <w:rPr>
          <w:lang w:val="en"/>
        </w:rPr>
        <w:t xml:space="preserve"> (Washington D.C.: U.S. Central Intelligence Agency</w:t>
      </w:r>
      <w:r w:rsidR="002C56C4">
        <w:rPr>
          <w:lang w:val="en"/>
        </w:rPr>
        <w:t>.</w:t>
      </w:r>
      <w:r>
        <w:rPr>
          <w:lang w:val="en"/>
        </w:rPr>
        <w:t xml:space="preserve"> The online version of this publication is updated weekly, and was accessed in late November and early December, 2012. This file includes data for all entities listed as independent states, except for the Holy See (Vatican City), plus Taiwan. </w:t>
      </w:r>
    </w:p>
    <w:p w:rsidR="00C356FB" w:rsidRDefault="005F04B7">
      <w:pPr>
        <w:pStyle w:val="NormalWeb"/>
        <w:rPr>
          <w:lang w:val="en"/>
        </w:rPr>
      </w:pPr>
      <w:r>
        <w:rPr>
          <w:lang w:val="en"/>
        </w:rPr>
        <w:t xml:space="preserve">Missing Data: </w:t>
      </w:r>
      <w:proofErr w:type="spellStart"/>
      <w:r>
        <w:rPr>
          <w:lang w:val="en"/>
        </w:rPr>
        <w:t>sysmis</w:t>
      </w:r>
      <w:proofErr w:type="spellEnd"/>
      <w:r>
        <w:rPr>
          <w:lang w:val="en"/>
        </w:rPr>
        <w:t xml:space="preserve"> (all variables)</w:t>
      </w:r>
    </w:p>
    <w:p w:rsidR="00C356FB" w:rsidRDefault="005F04B7">
      <w:pPr>
        <w:pStyle w:val="NormalWeb"/>
        <w:rPr>
          <w:lang w:val="en"/>
        </w:rPr>
      </w:pPr>
      <w:r>
        <w:rPr>
          <w:lang w:val="en"/>
        </w:rPr>
        <w:t xml:space="preserve">Note: Some variables are defined differently by different countries and data for a given variable may be from different years. </w:t>
      </w:r>
    </w:p>
    <w:p w:rsidR="001C178F" w:rsidRPr="001C178F" w:rsidRDefault="001C178F" w:rsidP="001C178F">
      <w:pPr>
        <w:widowControl w:val="0"/>
        <w:tabs>
          <w:tab w:val="left" w:pos="2160"/>
        </w:tabs>
        <w:kinsoku w:val="0"/>
        <w:overflowPunct w:val="0"/>
        <w:spacing w:before="282" w:line="278" w:lineRule="exact"/>
        <w:textAlignment w:val="baseline"/>
        <w:rPr>
          <w:b/>
          <w:bCs/>
        </w:rPr>
      </w:pPr>
      <w:r w:rsidRPr="001C178F">
        <w:rPr>
          <w:b/>
          <w:bCs/>
        </w:rPr>
        <w:t>Variable</w:t>
      </w:r>
      <w:r w:rsidRPr="001C178F">
        <w:rPr>
          <w:b/>
          <w:bCs/>
        </w:rPr>
        <w:tab/>
        <w:t>Description of Variable</w:t>
      </w:r>
    </w:p>
    <w:p w:rsidR="005F04B7" w:rsidRDefault="002C56C4" w:rsidP="002C56C4">
      <w:pPr>
        <w:pStyle w:val="NormalWeb"/>
        <w:rPr>
          <w:lang w:val="en"/>
        </w:rPr>
      </w:pPr>
      <w:r>
        <w:rPr>
          <w:lang w:val="en"/>
        </w:rPr>
        <w:t>NAME</w:t>
      </w:r>
      <w:r w:rsidR="001C178F">
        <w:rPr>
          <w:lang w:val="en"/>
        </w:rPr>
        <w:tab/>
      </w:r>
      <w:r w:rsidR="001C178F">
        <w:rPr>
          <w:lang w:val="en"/>
        </w:rPr>
        <w:tab/>
      </w:r>
      <w:r w:rsidR="001C178F">
        <w:rPr>
          <w:lang w:val="en"/>
        </w:rPr>
        <w:tab/>
      </w:r>
      <w:r w:rsidR="005F04B7">
        <w:rPr>
          <w:lang w:val="en"/>
        </w:rPr>
        <w:t>Country name</w:t>
      </w:r>
      <w:r w:rsidR="005F04B7">
        <w:rPr>
          <w:lang w:val="en"/>
        </w:rPr>
        <w:br/>
      </w:r>
      <w:r>
        <w:rPr>
          <w:lang w:val="en"/>
        </w:rPr>
        <w:t>REGION</w:t>
      </w:r>
      <w:r>
        <w:rPr>
          <w:lang w:val="en"/>
        </w:rPr>
        <w:tab/>
      </w:r>
      <w:r>
        <w:rPr>
          <w:lang w:val="en"/>
        </w:rPr>
        <w:tab/>
      </w:r>
      <w:proofErr w:type="spellStart"/>
      <w:r w:rsidR="005F04B7">
        <w:rPr>
          <w:lang w:val="en"/>
        </w:rPr>
        <w:t>Region</w:t>
      </w:r>
      <w:proofErr w:type="spellEnd"/>
      <w:r w:rsidR="005F04B7">
        <w:rPr>
          <w:lang w:val="en"/>
        </w:rPr>
        <w:t xml:space="preserve"> of World</w:t>
      </w:r>
      <w:r w:rsidR="000954EC">
        <w:rPr>
          <w:rStyle w:val="FootnoteReference"/>
          <w:lang w:val="en"/>
        </w:rPr>
        <w:footnoteReference w:id="1"/>
      </w:r>
      <w:r w:rsidR="005F04B7">
        <w:rPr>
          <w:lang w:val="en"/>
        </w:rPr>
        <w:br/>
      </w:r>
      <w:r>
        <w:rPr>
          <w:lang w:val="en"/>
        </w:rPr>
        <w:t>POPULATION</w:t>
      </w:r>
      <w:r w:rsidR="001C178F">
        <w:rPr>
          <w:lang w:val="en"/>
        </w:rPr>
        <w:tab/>
      </w:r>
      <w:proofErr w:type="spellStart"/>
      <w:r w:rsidR="005F04B7">
        <w:rPr>
          <w:lang w:val="en"/>
        </w:rPr>
        <w:t>Population</w:t>
      </w:r>
      <w:proofErr w:type="spellEnd"/>
      <w:r w:rsidR="005F04B7">
        <w:rPr>
          <w:lang w:val="en"/>
        </w:rPr>
        <w:br/>
      </w:r>
      <w:r>
        <w:rPr>
          <w:lang w:val="en"/>
        </w:rPr>
        <w:t>DENSITY</w:t>
      </w:r>
      <w:r w:rsidR="001C178F">
        <w:rPr>
          <w:lang w:val="en"/>
        </w:rPr>
        <w:tab/>
      </w:r>
      <w:r w:rsidR="000954EC">
        <w:rPr>
          <w:lang w:val="en"/>
        </w:rPr>
        <w:tab/>
      </w:r>
      <w:r w:rsidR="005F04B7">
        <w:rPr>
          <w:lang w:val="en"/>
        </w:rPr>
        <w:t xml:space="preserve">Population per square mile </w:t>
      </w:r>
      <w:r w:rsidR="005F04B7">
        <w:rPr>
          <w:lang w:val="en"/>
        </w:rPr>
        <w:br/>
      </w:r>
      <w:r>
        <w:rPr>
          <w:lang w:val="en"/>
        </w:rPr>
        <w:t>MIGRATION</w:t>
      </w:r>
      <w:r w:rsidR="005F04B7">
        <w:rPr>
          <w:lang w:val="en"/>
        </w:rPr>
        <w:t xml:space="preserve"> </w:t>
      </w:r>
      <w:r w:rsidR="001C178F">
        <w:rPr>
          <w:lang w:val="en"/>
        </w:rPr>
        <w:tab/>
      </w:r>
      <w:r w:rsidR="001C178F">
        <w:rPr>
          <w:lang w:val="en"/>
        </w:rPr>
        <w:tab/>
      </w:r>
      <w:r w:rsidR="005F04B7">
        <w:rPr>
          <w:lang w:val="en"/>
        </w:rPr>
        <w:t xml:space="preserve">Net migration </w:t>
      </w:r>
      <w:r w:rsidR="005F04B7">
        <w:rPr>
          <w:lang w:val="en"/>
        </w:rPr>
        <w:br/>
      </w:r>
      <w:r>
        <w:rPr>
          <w:lang w:val="en"/>
        </w:rPr>
        <w:t>LIFEEXP</w:t>
      </w:r>
      <w:r w:rsidR="005F04B7">
        <w:rPr>
          <w:lang w:val="en"/>
        </w:rPr>
        <w:t xml:space="preserve"> </w:t>
      </w:r>
      <w:r w:rsidR="001C178F">
        <w:rPr>
          <w:lang w:val="en"/>
        </w:rPr>
        <w:tab/>
      </w:r>
      <w:r w:rsidR="001C178F">
        <w:rPr>
          <w:lang w:val="en"/>
        </w:rPr>
        <w:tab/>
      </w:r>
      <w:r w:rsidR="005F04B7">
        <w:rPr>
          <w:lang w:val="en"/>
        </w:rPr>
        <w:t xml:space="preserve">Live expectancy at birth </w:t>
      </w:r>
      <w:r w:rsidR="005F04B7">
        <w:rPr>
          <w:lang w:val="en"/>
        </w:rPr>
        <w:br/>
      </w:r>
      <w:r>
        <w:rPr>
          <w:lang w:val="en"/>
        </w:rPr>
        <w:t>FERTILITY</w:t>
      </w:r>
      <w:r w:rsidR="001C178F">
        <w:rPr>
          <w:lang w:val="en"/>
        </w:rPr>
        <w:tab/>
      </w:r>
      <w:r w:rsidR="000954EC">
        <w:rPr>
          <w:lang w:val="en"/>
        </w:rPr>
        <w:tab/>
      </w:r>
      <w:r w:rsidR="005F04B7">
        <w:rPr>
          <w:lang w:val="en"/>
        </w:rPr>
        <w:t xml:space="preserve">Total fertility rate </w:t>
      </w:r>
      <w:r w:rsidR="005F04B7">
        <w:rPr>
          <w:lang w:val="en"/>
        </w:rPr>
        <w:br/>
      </w:r>
      <w:r>
        <w:rPr>
          <w:lang w:val="en"/>
        </w:rPr>
        <w:t>OBESITY</w:t>
      </w:r>
      <w:r w:rsidR="005F04B7">
        <w:rPr>
          <w:lang w:val="en"/>
        </w:rPr>
        <w:t xml:space="preserve"> </w:t>
      </w:r>
      <w:r w:rsidR="001C178F">
        <w:rPr>
          <w:lang w:val="en"/>
        </w:rPr>
        <w:tab/>
      </w:r>
      <w:r w:rsidR="001C178F">
        <w:rPr>
          <w:lang w:val="en"/>
        </w:rPr>
        <w:tab/>
      </w:r>
      <w:r w:rsidR="005F04B7">
        <w:rPr>
          <w:lang w:val="en"/>
        </w:rPr>
        <w:t xml:space="preserve">Adult obesity rate </w:t>
      </w:r>
      <w:r w:rsidR="005F04B7">
        <w:rPr>
          <w:lang w:val="en"/>
        </w:rPr>
        <w:br/>
      </w:r>
      <w:r>
        <w:rPr>
          <w:lang w:val="en"/>
        </w:rPr>
        <w:t>EDUCATION</w:t>
      </w:r>
      <w:r w:rsidR="001C178F">
        <w:rPr>
          <w:lang w:val="en"/>
        </w:rPr>
        <w:tab/>
      </w:r>
      <w:r w:rsidR="001C178F">
        <w:rPr>
          <w:lang w:val="en"/>
        </w:rPr>
        <w:tab/>
      </w:r>
      <w:r w:rsidR="005F04B7">
        <w:rPr>
          <w:lang w:val="en"/>
        </w:rPr>
        <w:t xml:space="preserve">Public expenditure on education as a percent of GDP </w:t>
      </w:r>
      <w:r w:rsidR="005F04B7">
        <w:rPr>
          <w:lang w:val="en"/>
        </w:rPr>
        <w:br/>
      </w:r>
      <w:r>
        <w:rPr>
          <w:lang w:val="en"/>
        </w:rPr>
        <w:t>MILITARY</w:t>
      </w:r>
      <w:r w:rsidR="005F04B7">
        <w:rPr>
          <w:lang w:val="en"/>
        </w:rPr>
        <w:t xml:space="preserve"> </w:t>
      </w:r>
      <w:r w:rsidR="001C178F">
        <w:rPr>
          <w:lang w:val="en"/>
        </w:rPr>
        <w:tab/>
      </w:r>
      <w:r w:rsidR="001C178F">
        <w:rPr>
          <w:lang w:val="en"/>
        </w:rPr>
        <w:tab/>
      </w:r>
      <w:proofErr w:type="spellStart"/>
      <w:r w:rsidR="005F04B7">
        <w:rPr>
          <w:lang w:val="en"/>
        </w:rPr>
        <w:t>Military</w:t>
      </w:r>
      <w:proofErr w:type="spellEnd"/>
      <w:r w:rsidR="005F04B7">
        <w:rPr>
          <w:lang w:val="en"/>
        </w:rPr>
        <w:t xml:space="preserve"> expenditure as a percent of GDP</w:t>
      </w:r>
      <w:r w:rsidR="005F04B7">
        <w:rPr>
          <w:lang w:val="en"/>
        </w:rPr>
        <w:br/>
      </w:r>
      <w:r>
        <w:rPr>
          <w:lang w:val="en"/>
        </w:rPr>
        <w:t>GDPCAPITA</w:t>
      </w:r>
      <w:r w:rsidR="001C178F">
        <w:rPr>
          <w:lang w:val="en"/>
        </w:rPr>
        <w:tab/>
      </w:r>
      <w:r w:rsidR="001C178F">
        <w:rPr>
          <w:lang w:val="en"/>
        </w:rPr>
        <w:tab/>
      </w:r>
      <w:r w:rsidR="005F04B7">
        <w:rPr>
          <w:lang w:val="en"/>
        </w:rPr>
        <w:t xml:space="preserve">Gross Domestic Product per capita </w:t>
      </w:r>
      <w:r w:rsidR="005F04B7">
        <w:rPr>
          <w:lang w:val="en"/>
        </w:rPr>
        <w:br/>
      </w:r>
      <w:r>
        <w:rPr>
          <w:lang w:val="en"/>
        </w:rPr>
        <w:t>UNEMPLOYMENT</w:t>
      </w:r>
      <w:r w:rsidR="000954EC">
        <w:rPr>
          <w:lang w:val="en"/>
        </w:rPr>
        <w:tab/>
      </w:r>
      <w:proofErr w:type="spellStart"/>
      <w:r w:rsidR="005F04B7">
        <w:rPr>
          <w:lang w:val="en"/>
        </w:rPr>
        <w:t>Unemployment</w:t>
      </w:r>
      <w:proofErr w:type="spellEnd"/>
      <w:r w:rsidR="005F04B7">
        <w:rPr>
          <w:lang w:val="en"/>
        </w:rPr>
        <w:t xml:space="preserve"> rate</w:t>
      </w:r>
      <w:r w:rsidR="005F04B7">
        <w:rPr>
          <w:lang w:val="en"/>
        </w:rPr>
        <w:br/>
      </w:r>
      <w:r>
        <w:rPr>
          <w:lang w:val="en"/>
        </w:rPr>
        <w:t>INEQUALITY</w:t>
      </w:r>
      <w:r w:rsidR="001C178F">
        <w:rPr>
          <w:lang w:val="en"/>
        </w:rPr>
        <w:tab/>
      </w:r>
      <w:proofErr w:type="spellStart"/>
      <w:r w:rsidR="005F04B7">
        <w:rPr>
          <w:lang w:val="en"/>
        </w:rPr>
        <w:t>Inequality</w:t>
      </w:r>
      <w:proofErr w:type="spellEnd"/>
      <w:r w:rsidR="005F04B7">
        <w:rPr>
          <w:lang w:val="en"/>
        </w:rPr>
        <w:t xml:space="preserve"> of income distribution </w:t>
      </w:r>
      <w:r w:rsidR="005F04B7">
        <w:rPr>
          <w:lang w:val="en"/>
        </w:rPr>
        <w:br/>
      </w:r>
      <w:r>
        <w:rPr>
          <w:lang w:val="en"/>
        </w:rPr>
        <w:t>INFLATION</w:t>
      </w:r>
      <w:r>
        <w:rPr>
          <w:lang w:val="en"/>
        </w:rPr>
        <w:tab/>
      </w:r>
      <w:r w:rsidR="001C178F">
        <w:rPr>
          <w:lang w:val="en"/>
        </w:rPr>
        <w:tab/>
      </w:r>
      <w:proofErr w:type="spellStart"/>
      <w:r w:rsidR="005F04B7">
        <w:rPr>
          <w:lang w:val="en"/>
        </w:rPr>
        <w:t>Inflation</w:t>
      </w:r>
      <w:proofErr w:type="spellEnd"/>
      <w:r w:rsidR="005F04B7">
        <w:rPr>
          <w:lang w:val="en"/>
        </w:rPr>
        <w:t xml:space="preserve"> rate </w:t>
      </w:r>
      <w:r w:rsidR="005F04B7">
        <w:rPr>
          <w:lang w:val="en"/>
        </w:rPr>
        <w:br/>
      </w:r>
      <w:r>
        <w:rPr>
          <w:lang w:val="en"/>
        </w:rPr>
        <w:t>DEBT</w:t>
      </w:r>
      <w:r w:rsidR="001C178F">
        <w:rPr>
          <w:lang w:val="en"/>
        </w:rPr>
        <w:tab/>
      </w:r>
      <w:r w:rsidR="001C178F">
        <w:rPr>
          <w:lang w:val="en"/>
        </w:rPr>
        <w:tab/>
      </w:r>
      <w:r w:rsidR="001C178F">
        <w:rPr>
          <w:lang w:val="en"/>
        </w:rPr>
        <w:tab/>
      </w:r>
      <w:proofErr w:type="spellStart"/>
      <w:r w:rsidR="005F04B7">
        <w:rPr>
          <w:lang w:val="en"/>
        </w:rPr>
        <w:t>Debt</w:t>
      </w:r>
      <w:proofErr w:type="spellEnd"/>
      <w:r w:rsidR="005F04B7">
        <w:rPr>
          <w:lang w:val="en"/>
        </w:rPr>
        <w:t xml:space="preserve"> </w:t>
      </w:r>
      <w:r w:rsidR="005F04B7">
        <w:rPr>
          <w:lang w:val="en"/>
        </w:rPr>
        <w:br/>
      </w:r>
      <w:r>
        <w:rPr>
          <w:lang w:val="en"/>
        </w:rPr>
        <w:t>EXPORTS</w:t>
      </w:r>
      <w:r w:rsidR="001C178F">
        <w:rPr>
          <w:lang w:val="en"/>
        </w:rPr>
        <w:tab/>
      </w:r>
      <w:r w:rsidR="000954EC">
        <w:rPr>
          <w:lang w:val="en"/>
        </w:rPr>
        <w:tab/>
      </w:r>
      <w:proofErr w:type="spellStart"/>
      <w:r w:rsidR="005F04B7">
        <w:rPr>
          <w:lang w:val="en"/>
        </w:rPr>
        <w:t>Exports</w:t>
      </w:r>
      <w:proofErr w:type="spellEnd"/>
      <w:r w:rsidR="005F04B7">
        <w:rPr>
          <w:lang w:val="en"/>
        </w:rPr>
        <w:t xml:space="preserve"> </w:t>
      </w:r>
      <w:r w:rsidR="005F04B7">
        <w:rPr>
          <w:lang w:val="en"/>
        </w:rPr>
        <w:br/>
      </w:r>
      <w:r>
        <w:rPr>
          <w:lang w:val="en"/>
        </w:rPr>
        <w:t>IMPORTS</w:t>
      </w:r>
      <w:r>
        <w:rPr>
          <w:lang w:val="en"/>
        </w:rPr>
        <w:tab/>
      </w:r>
      <w:r w:rsidR="001C178F">
        <w:rPr>
          <w:lang w:val="en"/>
        </w:rPr>
        <w:tab/>
      </w:r>
      <w:proofErr w:type="spellStart"/>
      <w:r w:rsidR="005F04B7">
        <w:rPr>
          <w:lang w:val="en"/>
        </w:rPr>
        <w:t>Imports</w:t>
      </w:r>
      <w:proofErr w:type="spellEnd"/>
      <w:r w:rsidR="005F04B7">
        <w:rPr>
          <w:lang w:val="en"/>
        </w:rPr>
        <w:t xml:space="preserve"> </w:t>
      </w:r>
      <w:r w:rsidR="005F04B7">
        <w:rPr>
          <w:lang w:val="en"/>
        </w:rPr>
        <w:br/>
      </w:r>
      <w:r>
        <w:rPr>
          <w:lang w:val="en"/>
        </w:rPr>
        <w:t>CARBON</w:t>
      </w:r>
      <w:r>
        <w:rPr>
          <w:lang w:val="en"/>
        </w:rPr>
        <w:tab/>
      </w:r>
      <w:r w:rsidR="001C178F">
        <w:rPr>
          <w:lang w:val="en"/>
        </w:rPr>
        <w:tab/>
      </w:r>
      <w:proofErr w:type="spellStart"/>
      <w:r w:rsidR="005F04B7">
        <w:rPr>
          <w:lang w:val="en"/>
        </w:rPr>
        <w:t>Carbon</w:t>
      </w:r>
      <w:proofErr w:type="spellEnd"/>
      <w:r w:rsidR="005F04B7">
        <w:rPr>
          <w:lang w:val="en"/>
        </w:rPr>
        <w:t xml:space="preserve"> dioxide emissions from consumption of energy</w:t>
      </w:r>
      <w:r w:rsidR="005F04B7">
        <w:rPr>
          <w:lang w:val="en"/>
        </w:rPr>
        <w:br/>
      </w:r>
      <w:r>
        <w:rPr>
          <w:lang w:val="en"/>
        </w:rPr>
        <w:t>INTERNET</w:t>
      </w:r>
      <w:r>
        <w:rPr>
          <w:lang w:val="en"/>
        </w:rPr>
        <w:tab/>
      </w:r>
      <w:r w:rsidR="001C178F">
        <w:rPr>
          <w:lang w:val="en"/>
        </w:rPr>
        <w:tab/>
      </w:r>
      <w:proofErr w:type="spellStart"/>
      <w:r w:rsidR="005F04B7">
        <w:rPr>
          <w:lang w:val="en"/>
        </w:rPr>
        <w:t>Internet</w:t>
      </w:r>
      <w:proofErr w:type="spellEnd"/>
      <w:r w:rsidR="005F04B7">
        <w:rPr>
          <w:lang w:val="en"/>
        </w:rPr>
        <w:t xml:space="preserve"> users </w:t>
      </w:r>
      <w:r w:rsidR="005F04B7">
        <w:rPr>
          <w:lang w:val="en"/>
        </w:rPr>
        <w:br/>
      </w:r>
      <w:r>
        <w:rPr>
          <w:lang w:val="en"/>
        </w:rPr>
        <w:lastRenderedPageBreak/>
        <w:t>CHRISTIAN</w:t>
      </w:r>
      <w:r>
        <w:rPr>
          <w:lang w:val="en"/>
        </w:rPr>
        <w:tab/>
      </w:r>
      <w:r w:rsidR="002075F1">
        <w:rPr>
          <w:lang w:val="en"/>
        </w:rPr>
        <w:tab/>
      </w:r>
      <w:r w:rsidR="005F04B7">
        <w:rPr>
          <w:lang w:val="en"/>
        </w:rPr>
        <w:t>Percent Christian</w:t>
      </w:r>
      <w:r w:rsidR="00195C0B">
        <w:rPr>
          <w:rStyle w:val="FootnoteReference"/>
          <w:lang w:val="en"/>
        </w:rPr>
        <w:footnoteReference w:id="2"/>
      </w:r>
      <w:r w:rsidR="005F04B7">
        <w:rPr>
          <w:lang w:val="en"/>
        </w:rPr>
        <w:br/>
      </w:r>
      <w:r>
        <w:rPr>
          <w:lang w:val="en"/>
        </w:rPr>
        <w:t>MOSLEM</w:t>
      </w:r>
      <w:r>
        <w:rPr>
          <w:lang w:val="en"/>
        </w:rPr>
        <w:tab/>
      </w:r>
      <w:r w:rsidR="002075F1">
        <w:rPr>
          <w:lang w:val="en"/>
        </w:rPr>
        <w:tab/>
      </w:r>
      <w:r w:rsidR="005F04B7">
        <w:rPr>
          <w:lang w:val="en"/>
        </w:rPr>
        <w:t>Percent Moslem</w:t>
      </w:r>
      <w:r w:rsidR="00195C0B">
        <w:rPr>
          <w:vertAlign w:val="superscript"/>
          <w:lang w:val="en"/>
        </w:rPr>
        <w:t>2</w:t>
      </w:r>
      <w:r w:rsidR="005F04B7">
        <w:rPr>
          <w:lang w:val="en"/>
        </w:rPr>
        <w:br/>
      </w:r>
      <w:r>
        <w:rPr>
          <w:lang w:val="en"/>
        </w:rPr>
        <w:t>BUDDIST</w:t>
      </w:r>
      <w:r>
        <w:rPr>
          <w:lang w:val="en"/>
        </w:rPr>
        <w:tab/>
      </w:r>
      <w:r w:rsidR="000954EC">
        <w:rPr>
          <w:lang w:val="en"/>
        </w:rPr>
        <w:tab/>
      </w:r>
      <w:r w:rsidR="005F04B7">
        <w:rPr>
          <w:lang w:val="en"/>
        </w:rPr>
        <w:t>Percent Buddist</w:t>
      </w:r>
      <w:r w:rsidR="00195C0B">
        <w:rPr>
          <w:vertAlign w:val="superscript"/>
          <w:lang w:val="en"/>
        </w:rPr>
        <w:t>2</w:t>
      </w:r>
      <w:r w:rsidR="005F04B7">
        <w:rPr>
          <w:lang w:val="en"/>
        </w:rPr>
        <w:br/>
      </w:r>
      <w:r>
        <w:rPr>
          <w:lang w:val="en"/>
        </w:rPr>
        <w:t>HINDU</w:t>
      </w:r>
      <w:r>
        <w:rPr>
          <w:lang w:val="en"/>
        </w:rPr>
        <w:tab/>
      </w:r>
      <w:r w:rsidR="002075F1">
        <w:rPr>
          <w:lang w:val="en"/>
        </w:rPr>
        <w:tab/>
      </w:r>
      <w:r w:rsidR="005F04B7">
        <w:rPr>
          <w:lang w:val="en"/>
        </w:rPr>
        <w:t>Percent Hindu</w:t>
      </w:r>
      <w:r w:rsidR="00195C0B">
        <w:rPr>
          <w:vertAlign w:val="superscript"/>
          <w:lang w:val="en"/>
        </w:rPr>
        <w:t>2</w:t>
      </w:r>
      <w:r w:rsidR="005F04B7">
        <w:rPr>
          <w:lang w:val="en"/>
        </w:rPr>
        <w:br/>
      </w:r>
      <w:r>
        <w:rPr>
          <w:lang w:val="en"/>
        </w:rPr>
        <w:t>OTHER</w:t>
      </w:r>
      <w:r>
        <w:rPr>
          <w:lang w:val="en"/>
        </w:rPr>
        <w:tab/>
      </w:r>
      <w:r>
        <w:rPr>
          <w:lang w:val="en"/>
        </w:rPr>
        <w:tab/>
      </w:r>
      <w:r w:rsidR="005F04B7">
        <w:rPr>
          <w:lang w:val="en"/>
        </w:rPr>
        <w:t>Percent other religion</w:t>
      </w:r>
      <w:r w:rsidR="00195C0B">
        <w:rPr>
          <w:vertAlign w:val="superscript"/>
          <w:lang w:val="en"/>
        </w:rPr>
        <w:t>2</w:t>
      </w:r>
      <w:r w:rsidR="005F04B7">
        <w:rPr>
          <w:lang w:val="en"/>
        </w:rPr>
        <w:br/>
      </w:r>
      <w:r>
        <w:rPr>
          <w:lang w:val="en"/>
        </w:rPr>
        <w:t>NONE</w:t>
      </w:r>
      <w:r>
        <w:rPr>
          <w:lang w:val="en"/>
        </w:rPr>
        <w:tab/>
      </w:r>
      <w:r>
        <w:rPr>
          <w:lang w:val="en"/>
        </w:rPr>
        <w:tab/>
      </w:r>
      <w:r>
        <w:rPr>
          <w:lang w:val="en"/>
        </w:rPr>
        <w:tab/>
      </w:r>
      <w:r w:rsidR="005F04B7">
        <w:rPr>
          <w:lang w:val="en"/>
        </w:rPr>
        <w:t>Percent non-religious</w:t>
      </w:r>
      <w:r w:rsidR="00195C0B">
        <w:rPr>
          <w:vertAlign w:val="superscript"/>
          <w:lang w:val="en"/>
        </w:rPr>
        <w:t>2</w:t>
      </w:r>
      <w:r w:rsidR="005F04B7">
        <w:rPr>
          <w:lang w:val="en"/>
        </w:rPr>
        <w:br/>
      </w:r>
      <w:r>
        <w:rPr>
          <w:lang w:val="en"/>
        </w:rPr>
        <w:t>POLRIGHTS</w:t>
      </w:r>
      <w:r>
        <w:rPr>
          <w:lang w:val="en"/>
        </w:rPr>
        <w:tab/>
      </w:r>
      <w:r>
        <w:rPr>
          <w:lang w:val="en"/>
        </w:rPr>
        <w:tab/>
      </w:r>
      <w:r w:rsidR="005F04B7">
        <w:rPr>
          <w:lang w:val="en"/>
        </w:rPr>
        <w:t>Political Rights Index</w:t>
      </w:r>
      <w:r w:rsidR="00195C0B">
        <w:rPr>
          <w:rStyle w:val="FootnoteReference"/>
          <w:lang w:val="en"/>
        </w:rPr>
        <w:footnoteReference w:id="3"/>
      </w:r>
      <w:r w:rsidR="005F04B7">
        <w:rPr>
          <w:lang w:val="en"/>
        </w:rPr>
        <w:t xml:space="preserve"> </w:t>
      </w:r>
      <w:r w:rsidR="005F04B7">
        <w:rPr>
          <w:lang w:val="en"/>
        </w:rPr>
        <w:br/>
      </w:r>
      <w:r>
        <w:rPr>
          <w:lang w:val="en"/>
        </w:rPr>
        <w:t>CIVILLIB</w:t>
      </w:r>
      <w:r>
        <w:rPr>
          <w:lang w:val="en"/>
        </w:rPr>
        <w:tab/>
      </w:r>
      <w:r>
        <w:rPr>
          <w:lang w:val="en"/>
        </w:rPr>
        <w:tab/>
      </w:r>
      <w:r w:rsidR="005F04B7">
        <w:rPr>
          <w:lang w:val="en"/>
        </w:rPr>
        <w:t>Civil Liberties Index</w:t>
      </w:r>
      <w:r w:rsidR="00195C0B">
        <w:rPr>
          <w:rStyle w:val="FootnoteReference"/>
          <w:lang w:val="en"/>
        </w:rPr>
        <w:footnoteReference w:id="4"/>
      </w:r>
      <w:r w:rsidR="005F04B7">
        <w:rPr>
          <w:lang w:val="en"/>
        </w:rPr>
        <w:br/>
      </w:r>
      <w:r>
        <w:rPr>
          <w:lang w:val="en"/>
        </w:rPr>
        <w:t>IFREEDOM</w:t>
      </w:r>
      <w:r w:rsidR="002075F1">
        <w:rPr>
          <w:lang w:val="en"/>
        </w:rPr>
        <w:tab/>
      </w:r>
      <w:r w:rsidR="002075F1">
        <w:rPr>
          <w:lang w:val="en"/>
        </w:rPr>
        <w:tab/>
      </w:r>
      <w:r w:rsidR="005F04B7">
        <w:rPr>
          <w:lang w:val="en"/>
        </w:rPr>
        <w:t>Internet Freedom Index</w:t>
      </w:r>
      <w:r w:rsidR="00195C0B">
        <w:rPr>
          <w:rStyle w:val="FootnoteReference"/>
          <w:lang w:val="en"/>
        </w:rPr>
        <w:footnoteReference w:id="5"/>
      </w:r>
      <w:r w:rsidR="005F04B7">
        <w:rPr>
          <w:lang w:val="en"/>
        </w:rPr>
        <w:br/>
      </w:r>
      <w:r>
        <w:rPr>
          <w:lang w:val="en"/>
        </w:rPr>
        <w:t>CORRUPTION</w:t>
      </w:r>
      <w:r w:rsidR="002075F1">
        <w:rPr>
          <w:lang w:val="en"/>
        </w:rPr>
        <w:tab/>
      </w:r>
      <w:r w:rsidR="005F04B7">
        <w:rPr>
          <w:lang w:val="en"/>
        </w:rPr>
        <w:t>Corru</w:t>
      </w:r>
      <w:bookmarkStart w:id="0" w:name="_GoBack"/>
      <w:bookmarkEnd w:id="0"/>
      <w:r w:rsidR="005F04B7">
        <w:rPr>
          <w:lang w:val="en"/>
        </w:rPr>
        <w:t>ption Perception Index</w:t>
      </w:r>
      <w:r w:rsidR="00195C0B">
        <w:rPr>
          <w:rStyle w:val="FootnoteReference"/>
          <w:lang w:val="en"/>
        </w:rPr>
        <w:footnoteReference w:id="6"/>
      </w:r>
      <w:r w:rsidR="005F04B7">
        <w:rPr>
          <w:lang w:val="en"/>
        </w:rPr>
        <w:t xml:space="preserve"> </w:t>
      </w:r>
    </w:p>
    <w:sectPr w:rsidR="005F04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716" w:rsidRDefault="00C67716" w:rsidP="002075F1">
      <w:r>
        <w:separator/>
      </w:r>
    </w:p>
  </w:endnote>
  <w:endnote w:type="continuationSeparator" w:id="0">
    <w:p w:rsidR="00C67716" w:rsidRDefault="00C67716" w:rsidP="0020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716" w:rsidRDefault="00C67716" w:rsidP="002075F1">
      <w:r>
        <w:separator/>
      </w:r>
    </w:p>
  </w:footnote>
  <w:footnote w:type="continuationSeparator" w:id="0">
    <w:p w:rsidR="00C67716" w:rsidRDefault="00C67716" w:rsidP="002075F1">
      <w:r>
        <w:continuationSeparator/>
      </w:r>
    </w:p>
  </w:footnote>
  <w:footnote w:id="1">
    <w:p w:rsidR="000954EC" w:rsidRPr="00195C0B" w:rsidRDefault="000954EC" w:rsidP="000954EC">
      <w:pPr>
        <w:pStyle w:val="NormalWeb"/>
        <w:rPr>
          <w:sz w:val="20"/>
          <w:szCs w:val="20"/>
          <w:lang w:val="en"/>
        </w:rPr>
      </w:pPr>
      <w:r>
        <w:rPr>
          <w:rStyle w:val="FootnoteReference"/>
        </w:rPr>
        <w:footnoteRef/>
      </w:r>
      <w:r>
        <w:t xml:space="preserve"> </w:t>
      </w:r>
      <w:proofErr w:type="gramStart"/>
      <w:r w:rsidRPr="00195C0B">
        <w:rPr>
          <w:sz w:val="20"/>
          <w:szCs w:val="20"/>
          <w:lang w:val="en"/>
        </w:rPr>
        <w:t xml:space="preserve">Derived from </w:t>
      </w:r>
      <w:hyperlink r:id="rId1" w:history="1">
        <w:r w:rsidR="00B4197C">
          <w:rPr>
            <w:rStyle w:val="Hyperlink"/>
            <w:sz w:val="20"/>
            <w:szCs w:val="20"/>
            <w:lang w:val="en"/>
          </w:rPr>
          <w:t>categories in Yahoo</w:t>
        </w:r>
      </w:hyperlink>
      <w:r w:rsidRPr="00195C0B">
        <w:rPr>
          <w:sz w:val="20"/>
          <w:szCs w:val="20"/>
          <w:lang w:val="en"/>
        </w:rPr>
        <w:t>.</w:t>
      </w:r>
      <w:proofErr w:type="gramEnd"/>
      <w:r w:rsidRPr="00195C0B">
        <w:rPr>
          <w:sz w:val="20"/>
          <w:szCs w:val="20"/>
          <w:lang w:val="en"/>
        </w:rPr>
        <w:t xml:space="preserve">  </w:t>
      </w:r>
      <w:proofErr w:type="gramStart"/>
      <w:r w:rsidRPr="00195C0B">
        <w:rPr>
          <w:sz w:val="20"/>
          <w:szCs w:val="20"/>
          <w:lang w:val="en"/>
        </w:rPr>
        <w:t>Accessed June 18, 2013.</w:t>
      </w:r>
      <w:proofErr w:type="gramEnd"/>
    </w:p>
    <w:p w:rsidR="000954EC" w:rsidRPr="00195C0B" w:rsidRDefault="000954EC" w:rsidP="00195C0B">
      <w:pPr>
        <w:pStyle w:val="NormalWeb"/>
        <w:ind w:left="720"/>
        <w:rPr>
          <w:sz w:val="20"/>
          <w:szCs w:val="20"/>
          <w:lang w:val="en"/>
        </w:rPr>
      </w:pPr>
      <w:r w:rsidRPr="00195C0B">
        <w:rPr>
          <w:sz w:val="20"/>
          <w:szCs w:val="20"/>
          <w:lang w:val="en"/>
        </w:rPr>
        <w:t>1  Africa (excluding Middle East) </w:t>
      </w:r>
      <w:r w:rsidRPr="00195C0B">
        <w:rPr>
          <w:sz w:val="20"/>
          <w:szCs w:val="20"/>
          <w:lang w:val="en"/>
        </w:rPr>
        <w:br/>
        <w:t>2  Asia (excluding Middle East) </w:t>
      </w:r>
      <w:r w:rsidRPr="00195C0B">
        <w:rPr>
          <w:sz w:val="20"/>
          <w:szCs w:val="20"/>
          <w:lang w:val="en"/>
        </w:rPr>
        <w:br/>
        <w:t>3  Caribbean</w:t>
      </w:r>
      <w:r w:rsidRPr="00195C0B">
        <w:rPr>
          <w:sz w:val="20"/>
          <w:szCs w:val="20"/>
          <w:lang w:val="en"/>
        </w:rPr>
        <w:br/>
        <w:t>4  Central America</w:t>
      </w:r>
      <w:r w:rsidRPr="00195C0B">
        <w:rPr>
          <w:sz w:val="20"/>
          <w:szCs w:val="20"/>
          <w:lang w:val="en"/>
        </w:rPr>
        <w:br/>
        <w:t>5  Europe</w:t>
      </w:r>
      <w:r w:rsidRPr="00195C0B">
        <w:rPr>
          <w:sz w:val="20"/>
          <w:szCs w:val="20"/>
          <w:lang w:val="en"/>
        </w:rPr>
        <w:br/>
        <w:t>6  Middle East</w:t>
      </w:r>
      <w:r w:rsidRPr="00195C0B">
        <w:rPr>
          <w:sz w:val="20"/>
          <w:szCs w:val="20"/>
          <w:lang w:val="en"/>
        </w:rPr>
        <w:br/>
        <w:t>7  North America</w:t>
      </w:r>
      <w:r w:rsidRPr="00195C0B">
        <w:rPr>
          <w:sz w:val="20"/>
          <w:szCs w:val="20"/>
          <w:lang w:val="en"/>
        </w:rPr>
        <w:br/>
        <w:t>8  Oceania </w:t>
      </w:r>
      <w:r w:rsidRPr="00195C0B">
        <w:rPr>
          <w:sz w:val="20"/>
          <w:szCs w:val="20"/>
          <w:lang w:val="en"/>
        </w:rPr>
        <w:br/>
        <w:t>9  South America</w:t>
      </w:r>
    </w:p>
    <w:p w:rsidR="000954EC" w:rsidRDefault="000954EC">
      <w:pPr>
        <w:pStyle w:val="FootnoteText"/>
      </w:pPr>
    </w:p>
  </w:footnote>
  <w:footnote w:id="2">
    <w:p w:rsidR="00195C0B" w:rsidRDefault="00195C0B" w:rsidP="00195C0B">
      <w:pPr>
        <w:pStyle w:val="NormalWeb"/>
      </w:pPr>
      <w:r>
        <w:rPr>
          <w:rStyle w:val="FootnoteReference"/>
        </w:rPr>
        <w:footnoteRef/>
      </w:r>
      <w:r>
        <w:t xml:space="preserve"> </w:t>
      </w:r>
      <w:r w:rsidRPr="00195C0B">
        <w:rPr>
          <w:sz w:val="20"/>
          <w:szCs w:val="20"/>
          <w:lang w:val="en"/>
        </w:rPr>
        <w:t xml:space="preserve">The </w:t>
      </w:r>
      <w:hyperlink r:id="rId2" w:history="1">
        <w:r w:rsidR="00811597">
          <w:rPr>
            <w:rStyle w:val="Hyperlink"/>
            <w:sz w:val="20"/>
            <w:szCs w:val="20"/>
            <w:lang w:val="en"/>
          </w:rPr>
          <w:t>Wikipedia e</w:t>
        </w:r>
        <w:r w:rsidR="00B4197C" w:rsidRPr="00B4197C">
          <w:rPr>
            <w:rStyle w:val="Hyperlink"/>
            <w:sz w:val="20"/>
            <w:szCs w:val="20"/>
            <w:lang w:val="en"/>
          </w:rPr>
          <w:t>ssay from which these data are taken</w:t>
        </w:r>
      </w:hyperlink>
      <w:r w:rsidR="00B4197C">
        <w:rPr>
          <w:sz w:val="20"/>
          <w:szCs w:val="20"/>
          <w:lang w:val="en"/>
        </w:rPr>
        <w:t xml:space="preserve"> (</w:t>
      </w:r>
      <w:r w:rsidRPr="00195C0B">
        <w:rPr>
          <w:sz w:val="20"/>
          <w:szCs w:val="20"/>
          <w:lang w:val="en"/>
        </w:rPr>
        <w:t xml:space="preserve">accessed November 27, 2012) draws on a wide variety of sources, resulting in inconsistencies of classification both within and between countries. Because of double-counting and other factors, percentages for different religious categories within a county do not always total to </w:t>
      </w:r>
      <w:r w:rsidR="00811597" w:rsidRPr="00195C0B">
        <w:rPr>
          <w:sz w:val="20"/>
          <w:szCs w:val="20"/>
          <w:lang w:val="en"/>
        </w:rPr>
        <w:t>100</w:t>
      </w:r>
      <w:r w:rsidRPr="00195C0B">
        <w:rPr>
          <w:sz w:val="20"/>
          <w:szCs w:val="20"/>
          <w:lang w:val="en"/>
        </w:rPr>
        <w:t xml:space="preserve"> and in a few cases are well above or below that number. Note also that, where the essay provides a range, sometimes a very wide one, the midpoint has been used here. France does not include overseas departments, and Tanzania does not include Zanzibar. </w:t>
      </w:r>
    </w:p>
  </w:footnote>
  <w:footnote w:id="3">
    <w:p w:rsidR="00195C0B" w:rsidRDefault="00195C0B">
      <w:pPr>
        <w:pStyle w:val="FootnoteText"/>
      </w:pPr>
      <w:r>
        <w:rPr>
          <w:rStyle w:val="FootnoteReference"/>
        </w:rPr>
        <w:footnoteRef/>
      </w:r>
      <w:r>
        <w:t xml:space="preserve"> </w:t>
      </w:r>
      <w:r>
        <w:rPr>
          <w:lang w:val="en"/>
        </w:rPr>
        <w:t>Political Rights Index, 2012 (1 = highest; 7 = lowest</w:t>
      </w:r>
      <w:proofErr w:type="gramStart"/>
      <w:r>
        <w:rPr>
          <w:lang w:val="en"/>
        </w:rPr>
        <w:t>)  Source</w:t>
      </w:r>
      <w:proofErr w:type="gramEnd"/>
      <w:r>
        <w:rPr>
          <w:lang w:val="en"/>
        </w:rPr>
        <w:t xml:space="preserve">:  </w:t>
      </w:r>
      <w:r w:rsidR="00B4197C">
        <w:rPr>
          <w:lang w:val="en"/>
        </w:rPr>
        <w:t>“</w:t>
      </w:r>
      <w:hyperlink r:id="rId3" w:history="1">
        <w:r w:rsidR="00B4197C" w:rsidRPr="00B4197C">
          <w:rPr>
            <w:rStyle w:val="Hyperlink"/>
            <w:lang w:val="en"/>
          </w:rPr>
          <w:t>Freedom House Country Rankings</w:t>
        </w:r>
      </w:hyperlink>
      <w:r w:rsidR="00B4197C">
        <w:rPr>
          <w:lang w:val="en"/>
        </w:rPr>
        <w:t xml:space="preserve">.” </w:t>
      </w:r>
      <w:proofErr w:type="gramStart"/>
      <w:r w:rsidR="00B4197C">
        <w:rPr>
          <w:lang w:val="en"/>
        </w:rPr>
        <w:t>Accessed</w:t>
      </w:r>
      <w:r>
        <w:rPr>
          <w:lang w:val="en"/>
        </w:rPr>
        <w:t xml:space="preserve"> November 20, 2012.</w:t>
      </w:r>
      <w:proofErr w:type="gramEnd"/>
    </w:p>
  </w:footnote>
  <w:footnote w:id="4">
    <w:p w:rsidR="00195C0B" w:rsidRDefault="00195C0B" w:rsidP="00195C0B">
      <w:pPr>
        <w:pStyle w:val="NormalWeb"/>
      </w:pPr>
      <w:r>
        <w:rPr>
          <w:rStyle w:val="FootnoteReference"/>
        </w:rPr>
        <w:footnoteRef/>
      </w:r>
      <w:r>
        <w:t xml:space="preserve"> </w:t>
      </w:r>
      <w:r w:rsidRPr="00195C0B">
        <w:rPr>
          <w:sz w:val="20"/>
          <w:szCs w:val="20"/>
          <w:lang w:val="en"/>
        </w:rPr>
        <w:t>Civil Liberty Index, 2012 (1 = highest; 7 = lowest</w:t>
      </w:r>
      <w:proofErr w:type="gramStart"/>
      <w:r w:rsidRPr="00195C0B">
        <w:rPr>
          <w:sz w:val="20"/>
          <w:szCs w:val="20"/>
          <w:lang w:val="en"/>
        </w:rPr>
        <w:t xml:space="preserve">) </w:t>
      </w:r>
      <w:r>
        <w:rPr>
          <w:sz w:val="20"/>
          <w:szCs w:val="20"/>
          <w:lang w:val="en"/>
        </w:rPr>
        <w:t xml:space="preserve"> Source</w:t>
      </w:r>
      <w:proofErr w:type="gramEnd"/>
      <w:r w:rsidRPr="00195C0B">
        <w:rPr>
          <w:sz w:val="20"/>
          <w:szCs w:val="20"/>
          <w:lang w:val="en"/>
        </w:rPr>
        <w:t xml:space="preserve">: </w:t>
      </w:r>
      <w:r>
        <w:rPr>
          <w:sz w:val="20"/>
          <w:szCs w:val="20"/>
          <w:lang w:val="en"/>
        </w:rPr>
        <w:t xml:space="preserve"> </w:t>
      </w:r>
      <w:r>
        <w:rPr>
          <w:i/>
          <w:sz w:val="20"/>
          <w:szCs w:val="20"/>
          <w:lang w:val="en"/>
        </w:rPr>
        <w:t>Ibid</w:t>
      </w:r>
      <w:r w:rsidRPr="00195C0B">
        <w:rPr>
          <w:sz w:val="20"/>
          <w:szCs w:val="20"/>
          <w:lang w:val="en"/>
        </w:rPr>
        <w:t>.</w:t>
      </w:r>
    </w:p>
  </w:footnote>
  <w:footnote w:id="5">
    <w:p w:rsidR="00195C0B" w:rsidRDefault="00195C0B">
      <w:pPr>
        <w:pStyle w:val="FootnoteText"/>
      </w:pPr>
      <w:r>
        <w:rPr>
          <w:rStyle w:val="FootnoteReference"/>
        </w:rPr>
        <w:footnoteRef/>
      </w:r>
      <w:r>
        <w:t xml:space="preserve"> </w:t>
      </w:r>
      <w:r w:rsidR="0053682F">
        <w:rPr>
          <w:lang w:val="en"/>
        </w:rPr>
        <w:t>Internet Freedom Index</w:t>
      </w:r>
      <w:r>
        <w:rPr>
          <w:lang w:val="en"/>
        </w:rPr>
        <w:t xml:space="preserve">, 2012 (0 = highest; 100 = lowest)  Source: </w:t>
      </w:r>
      <w:r>
        <w:rPr>
          <w:i/>
          <w:lang w:val="en"/>
        </w:rPr>
        <w:t>Ibid</w:t>
      </w:r>
      <w:r>
        <w:rPr>
          <w:lang w:val="en"/>
        </w:rPr>
        <w:t>.</w:t>
      </w:r>
      <w:r>
        <w:rPr>
          <w:lang w:val="en"/>
        </w:rPr>
        <w:br/>
      </w:r>
    </w:p>
  </w:footnote>
  <w:footnote w:id="6">
    <w:p w:rsidR="00195C0B" w:rsidRDefault="00195C0B">
      <w:pPr>
        <w:pStyle w:val="FootnoteText"/>
      </w:pPr>
      <w:r>
        <w:rPr>
          <w:rStyle w:val="FootnoteReference"/>
        </w:rPr>
        <w:footnoteRef/>
      </w:r>
      <w:r>
        <w:t xml:space="preserve"> </w:t>
      </w:r>
      <w:proofErr w:type="gramStart"/>
      <w:r>
        <w:rPr>
          <w:lang w:val="en"/>
        </w:rPr>
        <w:t>Corruption Perceptions Index, 2012.</w:t>
      </w:r>
      <w:proofErr w:type="gramEnd"/>
      <w:r>
        <w:rPr>
          <w:lang w:val="en"/>
        </w:rPr>
        <w:t xml:space="preserve"> </w:t>
      </w:r>
      <w:proofErr w:type="gramStart"/>
      <w:r>
        <w:rPr>
          <w:lang w:val="en"/>
        </w:rPr>
        <w:t>A measure of the degree to which corruption is perceived to exist among public officials and politicians.</w:t>
      </w:r>
      <w:proofErr w:type="gramEnd"/>
      <w:r w:rsidR="0053682F">
        <w:rPr>
          <w:lang w:val="en"/>
        </w:rPr>
        <w:t xml:space="preserve"> </w:t>
      </w:r>
      <w:r>
        <w:rPr>
          <w:lang w:val="en"/>
        </w:rPr>
        <w:t xml:space="preserve">(0 = most corrupt score possible; 100 = least corrupt score possible). </w:t>
      </w:r>
      <w:r w:rsidR="0053682F">
        <w:rPr>
          <w:lang w:val="en"/>
        </w:rPr>
        <w:t xml:space="preserve"> </w:t>
      </w:r>
      <w:r>
        <w:rPr>
          <w:lang w:val="en"/>
        </w:rPr>
        <w:t>Source: “</w:t>
      </w:r>
      <w:hyperlink r:id="rId4" w:history="1">
        <w:r w:rsidR="00B4197C">
          <w:rPr>
            <w:rStyle w:val="Hyperlink"/>
            <w:lang w:val="en"/>
          </w:rPr>
          <w:t>Transparency International Corruption Perceptions Index, 2012</w:t>
        </w:r>
      </w:hyperlink>
      <w:r w:rsidR="00B4197C">
        <w:rPr>
          <w:lang w:val="en"/>
        </w:rPr>
        <w:t xml:space="preserve">.” </w:t>
      </w:r>
      <w:proofErr w:type="gramStart"/>
      <w:r>
        <w:rPr>
          <w:lang w:val="en"/>
        </w:rPr>
        <w:t>Accessed December 5, 2012.</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122D2"/>
    <w:multiLevelType w:val="multilevel"/>
    <w:tmpl w:val="2C8A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947EBA"/>
    <w:rsid w:val="000954EC"/>
    <w:rsid w:val="00112BDD"/>
    <w:rsid w:val="00195C0B"/>
    <w:rsid w:val="001C178F"/>
    <w:rsid w:val="002075F1"/>
    <w:rsid w:val="002C56C4"/>
    <w:rsid w:val="00351B85"/>
    <w:rsid w:val="0053682F"/>
    <w:rsid w:val="00536B23"/>
    <w:rsid w:val="005F04B7"/>
    <w:rsid w:val="00811597"/>
    <w:rsid w:val="00947EBA"/>
    <w:rsid w:val="00B4197C"/>
    <w:rsid w:val="00C356FB"/>
    <w:rsid w:val="00C67716"/>
    <w:rsid w:val="00E021AF"/>
    <w:rsid w:val="00E80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special">
    <w:name w:val="special"/>
    <w:basedOn w:val="Normal"/>
  </w:style>
  <w:style w:type="paragraph" w:customStyle="1" w:styleId="special2">
    <w:name w:val="special2"/>
    <w:basedOn w:val="Normal"/>
  </w:style>
  <w:style w:type="paragraph" w:customStyle="1" w:styleId="chromestyle">
    <w:name w:val="chromestyle"/>
    <w:basedOn w:val="Normal"/>
    <w:pPr>
      <w:spacing w:before="100" w:beforeAutospacing="1" w:after="100" w:afterAutospacing="1"/>
    </w:pPr>
    <w:rPr>
      <w:b/>
      <w:bCs/>
    </w:rPr>
  </w:style>
  <w:style w:type="paragraph" w:customStyle="1" w:styleId="dropmenudiv">
    <w:name w:val="dropmenudiv"/>
    <w:basedOn w:val="Normal"/>
    <w:pPr>
      <w:pBdr>
        <w:top w:val="single" w:sz="6" w:space="0" w:color="B5E2FE"/>
        <w:left w:val="single" w:sz="6" w:space="0" w:color="B5E2FE"/>
        <w:bottom w:val="single" w:sz="2" w:space="0" w:color="B5E2FE"/>
        <w:right w:val="single" w:sz="6" w:space="0" w:color="B5E2FE"/>
      </w:pBdr>
      <w:shd w:val="clear" w:color="auto" w:fill="FFFFFF"/>
      <w:spacing w:before="100" w:beforeAutospacing="1" w:after="100" w:afterAutospacing="1" w:line="270" w:lineRule="atLeast"/>
    </w:pPr>
    <w:rPr>
      <w:rFonts w:ascii="Verdana" w:hAnsi="Verdana"/>
      <w:sz w:val="18"/>
      <w:szCs w:val="18"/>
    </w:rPr>
  </w:style>
  <w:style w:type="paragraph" w:customStyle="1" w:styleId="style7">
    <w:name w:val="style7"/>
    <w:basedOn w:val="Normal"/>
    <w:pPr>
      <w:spacing w:before="100" w:beforeAutospacing="1" w:after="100" w:afterAutospacing="1"/>
    </w:pPr>
    <w:rPr>
      <w:rFonts w:ascii="Verdana" w:hAnsi="Verdana"/>
      <w:b/>
      <w:bCs/>
      <w:i/>
      <w:iCs/>
      <w:sz w:val="36"/>
      <w:szCs w:val="36"/>
    </w:rPr>
  </w:style>
  <w:style w:type="paragraph" w:customStyle="1" w:styleId="style8">
    <w:name w:val="style8"/>
    <w:basedOn w:val="Normal"/>
    <w:pPr>
      <w:spacing w:before="100" w:beforeAutospacing="1" w:after="100" w:afterAutospacing="1"/>
    </w:pPr>
    <w:rPr>
      <w:rFonts w:ascii="Verdana" w:hAnsi="Verdana"/>
      <w:b/>
      <w:bCs/>
      <w:sz w:val="40"/>
      <w:szCs w:val="40"/>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EndnoteText">
    <w:name w:val="endnote text"/>
    <w:basedOn w:val="Normal"/>
    <w:link w:val="EndnoteTextChar"/>
    <w:uiPriority w:val="99"/>
    <w:semiHidden/>
    <w:unhideWhenUsed/>
    <w:rsid w:val="002075F1"/>
    <w:rPr>
      <w:sz w:val="20"/>
      <w:szCs w:val="20"/>
    </w:rPr>
  </w:style>
  <w:style w:type="character" w:customStyle="1" w:styleId="EndnoteTextChar">
    <w:name w:val="Endnote Text Char"/>
    <w:basedOn w:val="DefaultParagraphFont"/>
    <w:link w:val="EndnoteText"/>
    <w:uiPriority w:val="99"/>
    <w:semiHidden/>
    <w:rsid w:val="002075F1"/>
    <w:rPr>
      <w:rFonts w:eastAsiaTheme="minorEastAsia"/>
    </w:rPr>
  </w:style>
  <w:style w:type="character" w:styleId="EndnoteReference">
    <w:name w:val="endnote reference"/>
    <w:basedOn w:val="DefaultParagraphFont"/>
    <w:uiPriority w:val="99"/>
    <w:semiHidden/>
    <w:unhideWhenUsed/>
    <w:rsid w:val="002075F1"/>
    <w:rPr>
      <w:vertAlign w:val="superscript"/>
    </w:rPr>
  </w:style>
  <w:style w:type="paragraph" w:styleId="FootnoteText">
    <w:name w:val="footnote text"/>
    <w:basedOn w:val="Normal"/>
    <w:link w:val="FootnoteTextChar"/>
    <w:uiPriority w:val="99"/>
    <w:semiHidden/>
    <w:unhideWhenUsed/>
    <w:rsid w:val="002075F1"/>
    <w:rPr>
      <w:sz w:val="20"/>
      <w:szCs w:val="20"/>
    </w:rPr>
  </w:style>
  <w:style w:type="character" w:customStyle="1" w:styleId="FootnoteTextChar">
    <w:name w:val="Footnote Text Char"/>
    <w:basedOn w:val="DefaultParagraphFont"/>
    <w:link w:val="FootnoteText"/>
    <w:uiPriority w:val="99"/>
    <w:semiHidden/>
    <w:rsid w:val="002075F1"/>
    <w:rPr>
      <w:rFonts w:eastAsiaTheme="minorEastAsia"/>
    </w:rPr>
  </w:style>
  <w:style w:type="character" w:styleId="FootnoteReference">
    <w:name w:val="footnote reference"/>
    <w:basedOn w:val="DefaultParagraphFont"/>
    <w:uiPriority w:val="99"/>
    <w:semiHidden/>
    <w:unhideWhenUsed/>
    <w:rsid w:val="002075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special">
    <w:name w:val="special"/>
    <w:basedOn w:val="Normal"/>
  </w:style>
  <w:style w:type="paragraph" w:customStyle="1" w:styleId="special2">
    <w:name w:val="special2"/>
    <w:basedOn w:val="Normal"/>
  </w:style>
  <w:style w:type="paragraph" w:customStyle="1" w:styleId="chromestyle">
    <w:name w:val="chromestyle"/>
    <w:basedOn w:val="Normal"/>
    <w:pPr>
      <w:spacing w:before="100" w:beforeAutospacing="1" w:after="100" w:afterAutospacing="1"/>
    </w:pPr>
    <w:rPr>
      <w:b/>
      <w:bCs/>
    </w:rPr>
  </w:style>
  <w:style w:type="paragraph" w:customStyle="1" w:styleId="dropmenudiv">
    <w:name w:val="dropmenudiv"/>
    <w:basedOn w:val="Normal"/>
    <w:pPr>
      <w:pBdr>
        <w:top w:val="single" w:sz="6" w:space="0" w:color="B5E2FE"/>
        <w:left w:val="single" w:sz="6" w:space="0" w:color="B5E2FE"/>
        <w:bottom w:val="single" w:sz="2" w:space="0" w:color="B5E2FE"/>
        <w:right w:val="single" w:sz="6" w:space="0" w:color="B5E2FE"/>
      </w:pBdr>
      <w:shd w:val="clear" w:color="auto" w:fill="FFFFFF"/>
      <w:spacing w:before="100" w:beforeAutospacing="1" w:after="100" w:afterAutospacing="1" w:line="270" w:lineRule="atLeast"/>
    </w:pPr>
    <w:rPr>
      <w:rFonts w:ascii="Verdana" w:hAnsi="Verdana"/>
      <w:sz w:val="18"/>
      <w:szCs w:val="18"/>
    </w:rPr>
  </w:style>
  <w:style w:type="paragraph" w:customStyle="1" w:styleId="style7">
    <w:name w:val="style7"/>
    <w:basedOn w:val="Normal"/>
    <w:pPr>
      <w:spacing w:before="100" w:beforeAutospacing="1" w:after="100" w:afterAutospacing="1"/>
    </w:pPr>
    <w:rPr>
      <w:rFonts w:ascii="Verdana" w:hAnsi="Verdana"/>
      <w:b/>
      <w:bCs/>
      <w:i/>
      <w:iCs/>
      <w:sz w:val="36"/>
      <w:szCs w:val="36"/>
    </w:rPr>
  </w:style>
  <w:style w:type="paragraph" w:customStyle="1" w:styleId="style8">
    <w:name w:val="style8"/>
    <w:basedOn w:val="Normal"/>
    <w:pPr>
      <w:spacing w:before="100" w:beforeAutospacing="1" w:after="100" w:afterAutospacing="1"/>
    </w:pPr>
    <w:rPr>
      <w:rFonts w:ascii="Verdana" w:hAnsi="Verdana"/>
      <w:b/>
      <w:bCs/>
      <w:sz w:val="40"/>
      <w:szCs w:val="40"/>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EndnoteText">
    <w:name w:val="endnote text"/>
    <w:basedOn w:val="Normal"/>
    <w:link w:val="EndnoteTextChar"/>
    <w:uiPriority w:val="99"/>
    <w:semiHidden/>
    <w:unhideWhenUsed/>
    <w:rsid w:val="002075F1"/>
    <w:rPr>
      <w:sz w:val="20"/>
      <w:szCs w:val="20"/>
    </w:rPr>
  </w:style>
  <w:style w:type="character" w:customStyle="1" w:styleId="EndnoteTextChar">
    <w:name w:val="Endnote Text Char"/>
    <w:basedOn w:val="DefaultParagraphFont"/>
    <w:link w:val="EndnoteText"/>
    <w:uiPriority w:val="99"/>
    <w:semiHidden/>
    <w:rsid w:val="002075F1"/>
    <w:rPr>
      <w:rFonts w:eastAsiaTheme="minorEastAsia"/>
    </w:rPr>
  </w:style>
  <w:style w:type="character" w:styleId="EndnoteReference">
    <w:name w:val="endnote reference"/>
    <w:basedOn w:val="DefaultParagraphFont"/>
    <w:uiPriority w:val="99"/>
    <w:semiHidden/>
    <w:unhideWhenUsed/>
    <w:rsid w:val="002075F1"/>
    <w:rPr>
      <w:vertAlign w:val="superscript"/>
    </w:rPr>
  </w:style>
  <w:style w:type="paragraph" w:styleId="FootnoteText">
    <w:name w:val="footnote text"/>
    <w:basedOn w:val="Normal"/>
    <w:link w:val="FootnoteTextChar"/>
    <w:uiPriority w:val="99"/>
    <w:semiHidden/>
    <w:unhideWhenUsed/>
    <w:rsid w:val="002075F1"/>
    <w:rPr>
      <w:sz w:val="20"/>
      <w:szCs w:val="20"/>
    </w:rPr>
  </w:style>
  <w:style w:type="character" w:customStyle="1" w:styleId="FootnoteTextChar">
    <w:name w:val="Footnote Text Char"/>
    <w:basedOn w:val="DefaultParagraphFont"/>
    <w:link w:val="FootnoteText"/>
    <w:uiPriority w:val="99"/>
    <w:semiHidden/>
    <w:rsid w:val="002075F1"/>
    <w:rPr>
      <w:rFonts w:eastAsiaTheme="minorEastAsia"/>
    </w:rPr>
  </w:style>
  <w:style w:type="character" w:styleId="FootnoteReference">
    <w:name w:val="footnote reference"/>
    <w:basedOn w:val="DefaultParagraphFont"/>
    <w:uiPriority w:val="99"/>
    <w:semiHidden/>
    <w:unhideWhenUsed/>
    <w:rsid w:val="002075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1271">
      <w:marLeft w:val="0"/>
      <w:marRight w:val="0"/>
      <w:marTop w:val="0"/>
      <w:marBottom w:val="0"/>
      <w:divBdr>
        <w:top w:val="single" w:sz="6" w:space="0" w:color="B5E2FE"/>
        <w:left w:val="single" w:sz="6" w:space="0" w:color="B5E2FE"/>
        <w:bottom w:val="single" w:sz="2" w:space="0" w:color="B5E2FE"/>
        <w:right w:val="single" w:sz="6" w:space="0" w:color="B5E2FE"/>
      </w:divBdr>
    </w:div>
    <w:div w:id="265504343">
      <w:marLeft w:val="0"/>
      <w:marRight w:val="0"/>
      <w:marTop w:val="0"/>
      <w:marBottom w:val="0"/>
      <w:divBdr>
        <w:top w:val="none" w:sz="0" w:space="0" w:color="auto"/>
        <w:left w:val="none" w:sz="0" w:space="0" w:color="auto"/>
        <w:bottom w:val="none" w:sz="0" w:space="0" w:color="auto"/>
        <w:right w:val="none" w:sz="0" w:space="0" w:color="auto"/>
      </w:divBdr>
    </w:div>
    <w:div w:id="1220634049">
      <w:marLeft w:val="0"/>
      <w:marRight w:val="0"/>
      <w:marTop w:val="0"/>
      <w:marBottom w:val="0"/>
      <w:divBdr>
        <w:top w:val="single" w:sz="6" w:space="0" w:color="B5E2FE"/>
        <w:left w:val="single" w:sz="6" w:space="0" w:color="B5E2FE"/>
        <w:bottom w:val="single" w:sz="2" w:space="0" w:color="B5E2FE"/>
        <w:right w:val="single" w:sz="6" w:space="0" w:color="B5E2FE"/>
      </w:divBdr>
    </w:div>
    <w:div w:id="1227843379">
      <w:marLeft w:val="0"/>
      <w:marRight w:val="0"/>
      <w:marTop w:val="0"/>
      <w:marBottom w:val="0"/>
      <w:divBdr>
        <w:top w:val="single" w:sz="6" w:space="0" w:color="B5E2FE"/>
        <w:left w:val="single" w:sz="6" w:space="0" w:color="B5E2FE"/>
        <w:bottom w:val="single" w:sz="2" w:space="0" w:color="B5E2FE"/>
        <w:right w:val="single" w:sz="6" w:space="0" w:color="B5E2FE"/>
      </w:divBdr>
    </w:div>
    <w:div w:id="1293830896">
      <w:marLeft w:val="0"/>
      <w:marRight w:val="0"/>
      <w:marTop w:val="0"/>
      <w:marBottom w:val="0"/>
      <w:divBdr>
        <w:top w:val="single" w:sz="6" w:space="0" w:color="B5E2FE"/>
        <w:left w:val="single" w:sz="6" w:space="0" w:color="B5E2FE"/>
        <w:bottom w:val="single" w:sz="2" w:space="0" w:color="B5E2FE"/>
        <w:right w:val="single" w:sz="6" w:space="0" w:color="B5E2FE"/>
      </w:divBdr>
    </w:div>
    <w:div w:id="1404260876">
      <w:marLeft w:val="0"/>
      <w:marRight w:val="0"/>
      <w:marTop w:val="0"/>
      <w:marBottom w:val="0"/>
      <w:divBdr>
        <w:top w:val="single" w:sz="6" w:space="0" w:color="B5E2FE"/>
        <w:left w:val="single" w:sz="6" w:space="0" w:color="B5E2FE"/>
        <w:bottom w:val="single" w:sz="2" w:space="0" w:color="B5E2FE"/>
        <w:right w:val="single" w:sz="6" w:space="0" w:color="B5E2FE"/>
      </w:divBdr>
    </w:div>
    <w:div w:id="2019192211">
      <w:marLeft w:val="0"/>
      <w:marRight w:val="0"/>
      <w:marTop w:val="0"/>
      <w:marBottom w:val="0"/>
      <w:divBdr>
        <w:top w:val="single" w:sz="6" w:space="0" w:color="B5E2FE"/>
        <w:left w:val="single" w:sz="6" w:space="0" w:color="B5E2FE"/>
        <w:bottom w:val="single" w:sz="2" w:space="0" w:color="B5E2FE"/>
        <w:right w:val="single" w:sz="6" w:space="0" w:color="B5E2FE"/>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cia.gov/library/publications/the-world-factbook/index.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reedomhouse.org/" TargetMode="External"/><Relationship Id="rId2" Type="http://schemas.openxmlformats.org/officeDocument/2006/relationships/hyperlink" Target="essay%20from%20which%20these%20data%20are%20taken" TargetMode="External"/><Relationship Id="rId1" Type="http://schemas.openxmlformats.org/officeDocument/2006/relationships/hyperlink" Target="http://dir.yahoo.com/Regional/Regions/" TargetMode="External"/><Relationship Id="rId4" Type="http://schemas.openxmlformats.org/officeDocument/2006/relationships/hyperlink" Target="http://www.transparen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B5B2F-86B6-43E9-B6BB-F8CDEC164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Codebook: Countries Data</vt:lpstr>
    </vt:vector>
  </TitlesOfParts>
  <Company>Toshiba</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Countries Data</dc:title>
  <dc:creator>John</dc:creator>
  <cp:lastModifiedBy>ValuedClient</cp:lastModifiedBy>
  <cp:revision>4</cp:revision>
  <cp:lastPrinted>2014-07-07T15:40:00Z</cp:lastPrinted>
  <dcterms:created xsi:type="dcterms:W3CDTF">2014-07-03T21:27:00Z</dcterms:created>
  <dcterms:modified xsi:type="dcterms:W3CDTF">2014-07-07T16:01:00Z</dcterms:modified>
</cp:coreProperties>
</file>